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F9F14" w14:textId="77777777" w:rsidR="00882538" w:rsidRDefault="00882538" w:rsidP="004B544B">
      <w:pPr>
        <w:rPr>
          <w:b/>
          <w:bCs/>
          <w:sz w:val="40"/>
          <w:szCs w:val="40"/>
        </w:rPr>
      </w:pPr>
    </w:p>
    <w:p w14:paraId="2C4965F3" w14:textId="0DA64C09" w:rsidR="00B62B38" w:rsidRPr="004B544B" w:rsidRDefault="004B544B" w:rsidP="004B544B">
      <w:pPr>
        <w:rPr>
          <w:b/>
          <w:bCs/>
          <w:sz w:val="40"/>
          <w:szCs w:val="40"/>
        </w:rPr>
      </w:pPr>
      <w:r w:rsidRPr="004B544B">
        <w:rPr>
          <w:rFonts w:cs="Tahoma"/>
          <w:noProof/>
          <w:sz w:val="40"/>
          <w:szCs w:val="40"/>
        </w:rPr>
        <w:drawing>
          <wp:anchor distT="0" distB="0" distL="114300" distR="114300" simplePos="0" relativeHeight="251658240" behindDoc="0" locked="0" layoutInCell="1" allowOverlap="1" wp14:anchorId="5DDF6ECB" wp14:editId="794A4B8C">
            <wp:simplePos x="0" y="0"/>
            <wp:positionH relativeFrom="margin">
              <wp:align>right</wp:align>
            </wp:positionH>
            <wp:positionV relativeFrom="margin">
              <wp:posOffset>-438150</wp:posOffset>
            </wp:positionV>
            <wp:extent cx="1362075" cy="6953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95325"/>
                    </a:xfrm>
                    <a:prstGeom prst="rect">
                      <a:avLst/>
                    </a:prstGeom>
                    <a:noFill/>
                    <a:ln>
                      <a:noFill/>
                    </a:ln>
                  </pic:spPr>
                </pic:pic>
              </a:graphicData>
            </a:graphic>
          </wp:anchor>
        </w:drawing>
      </w:r>
      <w:r w:rsidR="00B62B38" w:rsidRPr="004B544B">
        <w:rPr>
          <w:b/>
          <w:bCs/>
          <w:sz w:val="40"/>
          <w:szCs w:val="40"/>
        </w:rPr>
        <w:t>QMS Briefing</w:t>
      </w:r>
    </w:p>
    <w:p w14:paraId="0B27EAF3" w14:textId="156D3496" w:rsidR="004B544B" w:rsidRDefault="004B544B" w:rsidP="00B62B38">
      <w:pPr>
        <w:jc w:val="center"/>
        <w:rPr>
          <w:b/>
          <w:bCs/>
        </w:rPr>
      </w:pPr>
    </w:p>
    <w:p w14:paraId="19871CD6" w14:textId="77777777" w:rsidR="004B544B" w:rsidRPr="00B62B38" w:rsidRDefault="004B544B" w:rsidP="00B62B38">
      <w:pPr>
        <w:jc w:val="center"/>
        <w:rPr>
          <w:b/>
          <w:bCs/>
        </w:rPr>
      </w:pPr>
    </w:p>
    <w:p w14:paraId="0B167382" w14:textId="1950FB01" w:rsidR="00B62B38" w:rsidRDefault="00B62B38">
      <w:r w:rsidRPr="00B62B38">
        <w:rPr>
          <w:b/>
          <w:bCs/>
        </w:rPr>
        <w:t>Purpose:</w:t>
      </w:r>
      <w:r>
        <w:t xml:space="preserve"> </w:t>
      </w:r>
      <w:r w:rsidRPr="00B62B38">
        <w:rPr>
          <w:i/>
          <w:iCs/>
        </w:rPr>
        <w:t xml:space="preserve">To provide advice on </w:t>
      </w:r>
      <w:bookmarkStart w:id="0" w:name="_Hlk49258911"/>
      <w:r w:rsidR="002D600A">
        <w:rPr>
          <w:i/>
          <w:iCs/>
        </w:rPr>
        <w:t xml:space="preserve">the impact of EU Exit </w:t>
      </w:r>
      <w:r w:rsidR="00EB0947">
        <w:rPr>
          <w:i/>
          <w:iCs/>
        </w:rPr>
        <w:t xml:space="preserve">on the Scottish </w:t>
      </w:r>
      <w:r w:rsidR="00F601F9">
        <w:rPr>
          <w:i/>
          <w:iCs/>
        </w:rPr>
        <w:t>Red Meat Industry</w:t>
      </w:r>
    </w:p>
    <w:bookmarkEnd w:id="0"/>
    <w:p w14:paraId="0B42FA25" w14:textId="3D803003" w:rsidR="00B62B38" w:rsidRDefault="00B62B38">
      <w:r w:rsidRPr="00B62B38">
        <w:rPr>
          <w:b/>
          <w:bCs/>
        </w:rPr>
        <w:t>Prepared By</w:t>
      </w:r>
      <w:r>
        <w:t xml:space="preserve">: </w:t>
      </w:r>
      <w:r w:rsidR="002D600A">
        <w:t xml:space="preserve">Sarah Millar Director of External Affairs </w:t>
      </w:r>
    </w:p>
    <w:p w14:paraId="42FCB935" w14:textId="238493C3" w:rsidR="00B62B38" w:rsidRDefault="00B62B38">
      <w:r w:rsidRPr="00B62B38">
        <w:rPr>
          <w:b/>
          <w:bCs/>
        </w:rPr>
        <w:t>Contact:</w:t>
      </w:r>
      <w:r>
        <w:t xml:space="preserve"> s</w:t>
      </w:r>
      <w:r w:rsidR="002D600A">
        <w:t>millar</w:t>
      </w:r>
      <w:r>
        <w:t>@qmscotland.co.uk</w:t>
      </w:r>
    </w:p>
    <w:p w14:paraId="38DCCBC2" w14:textId="3D251ECF" w:rsidR="00B62B38" w:rsidRDefault="00B62B38" w:rsidP="00F601F9">
      <w:r w:rsidRPr="00B62B38">
        <w:rPr>
          <w:b/>
          <w:bCs/>
        </w:rPr>
        <w:t>Date:</w:t>
      </w:r>
      <w:r>
        <w:t xml:space="preserve"> </w:t>
      </w:r>
      <w:r w:rsidR="00F601F9">
        <w:t>16/02/2021</w:t>
      </w:r>
    </w:p>
    <w:p w14:paraId="1A82AA4A" w14:textId="541BC231" w:rsidR="00DB5F8D" w:rsidRDefault="00DB5F8D" w:rsidP="00DB5F8D"/>
    <w:p w14:paraId="21CB8D56" w14:textId="77777777" w:rsidR="00DB5F8D" w:rsidRPr="008A2FF5" w:rsidRDefault="00DB5F8D" w:rsidP="00DB5F8D">
      <w:pPr>
        <w:rPr>
          <w:i/>
          <w:iCs/>
          <w:u w:val="single"/>
        </w:rPr>
      </w:pPr>
      <w:r w:rsidRPr="008A2FF5">
        <w:rPr>
          <w:i/>
          <w:iCs/>
          <w:u w:val="single"/>
        </w:rPr>
        <w:t xml:space="preserve">Quality Meat Scotland is a Non-Departmental Public Body. This advice is provided under the Quality Meat Scotland Order 2008 Schedule 1 </w:t>
      </w:r>
      <w:r w:rsidRPr="008A2FF5">
        <w:rPr>
          <w:i/>
          <w:iCs/>
          <w:color w:val="000000" w:themeColor="text1"/>
          <w:u w:val="single"/>
        </w:rPr>
        <w:t xml:space="preserve">point </w:t>
      </w:r>
      <w:proofErr w:type="gramStart"/>
      <w:r w:rsidRPr="008A2FF5">
        <w:rPr>
          <w:i/>
          <w:iCs/>
          <w:color w:val="000000" w:themeColor="text1"/>
          <w:u w:val="single"/>
        </w:rPr>
        <w:t>18</w:t>
      </w:r>
      <w:r w:rsidRPr="008A2FF5">
        <w:rPr>
          <w:rFonts w:ascii="Arial" w:hAnsi="Arial" w:cs="Arial"/>
          <w:b/>
          <w:bCs/>
          <w:i/>
          <w:iCs/>
          <w:color w:val="000000" w:themeColor="text1"/>
          <w:sz w:val="18"/>
          <w:szCs w:val="18"/>
          <w:u w:val="single"/>
        </w:rPr>
        <w:t xml:space="preserve"> </w:t>
      </w:r>
      <w:r w:rsidRPr="008A2FF5">
        <w:rPr>
          <w:rStyle w:val="legp1no"/>
          <w:rFonts w:cs="Tahoma"/>
          <w:b/>
          <w:bCs/>
          <w:i/>
          <w:iCs/>
          <w:color w:val="000000" w:themeColor="text1"/>
          <w:u w:val="single"/>
        </w:rPr>
        <w:t>’</w:t>
      </w:r>
      <w:proofErr w:type="gramEnd"/>
      <w:r w:rsidRPr="008A2FF5">
        <w:rPr>
          <w:rFonts w:cs="Tahoma"/>
          <w:i/>
          <w:iCs/>
          <w:color w:val="000000" w:themeColor="text1"/>
          <w:u w:val="single"/>
          <w:shd w:val="clear" w:color="auto" w:fill="FFFFFF"/>
        </w:rPr>
        <w:t>  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Pr="008A2FF5">
        <w:rPr>
          <w:rFonts w:cs="Tahoma"/>
          <w:i/>
          <w:iCs/>
          <w:color w:val="000000" w:themeColor="text1"/>
          <w:u w:val="single"/>
        </w:rPr>
        <w:t xml:space="preserve"> ‘. This advice is freely available and further information can be provided by the designated contact above. </w:t>
      </w:r>
    </w:p>
    <w:p w14:paraId="672AE26F" w14:textId="38A66DA0" w:rsidR="00DB5F8D" w:rsidRDefault="00DB5F8D"/>
    <w:p w14:paraId="63C853F0" w14:textId="1748FC9A" w:rsidR="00EE55D1" w:rsidRDefault="00EE55D1"/>
    <w:p w14:paraId="1B454478" w14:textId="4391202F" w:rsidR="00955885" w:rsidRDefault="00955885" w:rsidP="00955885">
      <w:pPr>
        <w:pStyle w:val="ListParagraph"/>
        <w:numPr>
          <w:ilvl w:val="0"/>
          <w:numId w:val="38"/>
        </w:numPr>
        <w:rPr>
          <w:b/>
          <w:bCs/>
        </w:rPr>
      </w:pPr>
      <w:r w:rsidRPr="00955885">
        <w:rPr>
          <w:b/>
          <w:bCs/>
        </w:rPr>
        <w:t>Does the UK have sufficient resources and capacity to certify, record and inspect animal movements across its borders?</w:t>
      </w:r>
    </w:p>
    <w:p w14:paraId="6B5D0AE3" w14:textId="13090B15" w:rsidR="00955885" w:rsidRDefault="00955885" w:rsidP="00955885">
      <w:pPr>
        <w:pStyle w:val="ListParagraph"/>
        <w:rPr>
          <w:b/>
          <w:bCs/>
        </w:rPr>
      </w:pPr>
    </w:p>
    <w:p w14:paraId="5CFAD81A" w14:textId="13C411C3" w:rsidR="00526E2A" w:rsidRPr="00867505" w:rsidRDefault="00AD5A43" w:rsidP="00526E2A">
      <w:pPr>
        <w:pStyle w:val="ListParagraph"/>
        <w:numPr>
          <w:ilvl w:val="0"/>
          <w:numId w:val="45"/>
        </w:numPr>
        <w:rPr>
          <w:b/>
          <w:bCs/>
        </w:rPr>
      </w:pPr>
      <w:r>
        <w:rPr>
          <w:rFonts w:asciiTheme="minorHAnsi" w:hAnsiTheme="minorHAnsi"/>
        </w:rPr>
        <w:t>Partially</w:t>
      </w:r>
      <w:r w:rsidR="00526E2A">
        <w:rPr>
          <w:rFonts w:asciiTheme="minorHAnsi" w:hAnsiTheme="minorHAnsi"/>
        </w:rPr>
        <w:t xml:space="preserve">, we feel that the UK </w:t>
      </w:r>
      <w:r>
        <w:rPr>
          <w:rFonts w:asciiTheme="minorHAnsi" w:hAnsiTheme="minorHAnsi"/>
        </w:rPr>
        <w:t xml:space="preserve">has the sufficient </w:t>
      </w:r>
      <w:r w:rsidR="00867505">
        <w:rPr>
          <w:rFonts w:asciiTheme="minorHAnsi" w:hAnsiTheme="minorHAnsi"/>
        </w:rPr>
        <w:t xml:space="preserve">intellectual resource required to record, </w:t>
      </w:r>
      <w:r w:rsidR="00F73B8A">
        <w:rPr>
          <w:rFonts w:asciiTheme="minorHAnsi" w:hAnsiTheme="minorHAnsi"/>
        </w:rPr>
        <w:t>certify,</w:t>
      </w:r>
      <w:r w:rsidR="00867505">
        <w:rPr>
          <w:rFonts w:asciiTheme="minorHAnsi" w:hAnsiTheme="minorHAnsi"/>
        </w:rPr>
        <w:t xml:space="preserve"> and inspect imported live animals to the UK. However, resource is lacking in the physical locations and assets. </w:t>
      </w:r>
      <w:r w:rsidR="00AD45B9">
        <w:rPr>
          <w:rFonts w:asciiTheme="minorHAnsi" w:hAnsiTheme="minorHAnsi"/>
        </w:rPr>
        <w:t>At present BCPs exist only at air terminals, so live animal entry by seaport is not possible</w:t>
      </w:r>
      <w:r w:rsidR="00867505">
        <w:rPr>
          <w:rFonts w:asciiTheme="minorHAnsi" w:hAnsiTheme="minorHAnsi"/>
        </w:rPr>
        <w:t xml:space="preserve"> to the UK.</w:t>
      </w:r>
    </w:p>
    <w:p w14:paraId="427297F1" w14:textId="7197DC53" w:rsidR="00867505" w:rsidRPr="00867505" w:rsidRDefault="00867505" w:rsidP="00867505">
      <w:pPr>
        <w:pStyle w:val="ListParagraph"/>
        <w:numPr>
          <w:ilvl w:val="0"/>
          <w:numId w:val="45"/>
        </w:numPr>
        <w:rPr>
          <w:b/>
          <w:bCs/>
        </w:rPr>
      </w:pPr>
      <w:r>
        <w:rPr>
          <w:rFonts w:asciiTheme="minorHAnsi" w:hAnsiTheme="minorHAnsi"/>
        </w:rPr>
        <w:t xml:space="preserve">The UK has committed as we understand it to develop UK BCP’s at seaports for live animals, but confirmation of when and where these are available have been cited as commercially sensitive information thus far. </w:t>
      </w:r>
    </w:p>
    <w:p w14:paraId="070D3C3E" w14:textId="5A14BA02" w:rsidR="00AD45B9" w:rsidRPr="00AD45B9" w:rsidRDefault="00AD45B9" w:rsidP="00526E2A">
      <w:pPr>
        <w:pStyle w:val="ListParagraph"/>
        <w:numPr>
          <w:ilvl w:val="0"/>
          <w:numId w:val="45"/>
        </w:numPr>
        <w:rPr>
          <w:b/>
          <w:bCs/>
        </w:rPr>
      </w:pPr>
      <w:r>
        <w:rPr>
          <w:rFonts w:asciiTheme="minorHAnsi" w:hAnsiTheme="minorHAnsi"/>
        </w:rPr>
        <w:t>On the export side, there are BCP that allow exports from the UK to the EU of live animals. However, these routes are not always the most direct shipping route. Operation as a live animal BCP is a commercial decision that port authorities make, and due to the relatively low volume (but high value in most cases), some of the main entry points to the EU do not offer a BCP for live animals.</w:t>
      </w:r>
    </w:p>
    <w:p w14:paraId="1DEE9214" w14:textId="77777777" w:rsidR="00AD45B9" w:rsidRPr="00955885" w:rsidRDefault="00AD45B9" w:rsidP="00AD45B9">
      <w:pPr>
        <w:pStyle w:val="ListParagraph"/>
        <w:ind w:left="1080"/>
        <w:rPr>
          <w:b/>
          <w:bCs/>
        </w:rPr>
      </w:pPr>
    </w:p>
    <w:p w14:paraId="4B605F53" w14:textId="02AC8BF7" w:rsidR="00955885" w:rsidRDefault="00955885" w:rsidP="00955885">
      <w:pPr>
        <w:pStyle w:val="ListParagraph"/>
        <w:numPr>
          <w:ilvl w:val="0"/>
          <w:numId w:val="38"/>
        </w:numPr>
        <w:rPr>
          <w:b/>
          <w:bCs/>
        </w:rPr>
      </w:pPr>
      <w:r w:rsidRPr="00955885">
        <w:rPr>
          <w:b/>
          <w:bCs/>
        </w:rPr>
        <w:t>How effectively will the UK be able to conduct animal disease surveillance and respond to outbreaks?</w:t>
      </w:r>
    </w:p>
    <w:p w14:paraId="30822ECB" w14:textId="77777777" w:rsidR="00AD45B9" w:rsidRPr="00955885" w:rsidRDefault="00AD45B9" w:rsidP="00AD45B9">
      <w:pPr>
        <w:pStyle w:val="ListParagraph"/>
        <w:rPr>
          <w:b/>
          <w:bCs/>
        </w:rPr>
      </w:pPr>
    </w:p>
    <w:p w14:paraId="309893E7" w14:textId="203E54DD" w:rsidR="00955885" w:rsidRDefault="00AD45B9" w:rsidP="00AD5A43">
      <w:pPr>
        <w:pStyle w:val="ListParagraph"/>
        <w:numPr>
          <w:ilvl w:val="0"/>
          <w:numId w:val="47"/>
        </w:numPr>
        <w:rPr>
          <w:rFonts w:asciiTheme="minorHAnsi" w:hAnsiTheme="minorHAnsi"/>
        </w:rPr>
      </w:pPr>
      <w:r w:rsidRPr="00AD5A43">
        <w:rPr>
          <w:rFonts w:asciiTheme="minorHAnsi" w:hAnsiTheme="minorHAnsi"/>
        </w:rPr>
        <w:t>The UK has well tested animal disease surveillance mechanisms between differing parts of the UK, that w</w:t>
      </w:r>
      <w:r w:rsidR="00AD5A43" w:rsidRPr="00AD5A43">
        <w:rPr>
          <w:rFonts w:asciiTheme="minorHAnsi" w:hAnsiTheme="minorHAnsi"/>
        </w:rPr>
        <w:t>e feels works well</w:t>
      </w:r>
      <w:r w:rsidR="00AD5A43">
        <w:rPr>
          <w:rFonts w:asciiTheme="minorHAnsi" w:hAnsiTheme="minorHAnsi"/>
        </w:rPr>
        <w:t xml:space="preserve"> and enables us to share intel and intelligence cross UK on animal disease that could impact </w:t>
      </w:r>
      <w:r w:rsidR="00DA773B">
        <w:rPr>
          <w:rFonts w:asciiTheme="minorHAnsi" w:hAnsiTheme="minorHAnsi"/>
        </w:rPr>
        <w:t xml:space="preserve">production and animal health and welfare. </w:t>
      </w:r>
    </w:p>
    <w:p w14:paraId="6B581647" w14:textId="4CC7C79A" w:rsidR="006C0511" w:rsidRDefault="006C0511" w:rsidP="00AD5A43">
      <w:pPr>
        <w:pStyle w:val="ListParagraph"/>
        <w:numPr>
          <w:ilvl w:val="0"/>
          <w:numId w:val="47"/>
        </w:numPr>
        <w:rPr>
          <w:rFonts w:asciiTheme="minorHAnsi" w:hAnsiTheme="minorHAnsi"/>
        </w:rPr>
      </w:pPr>
      <w:r>
        <w:rPr>
          <w:rFonts w:asciiTheme="minorHAnsi" w:hAnsiTheme="minorHAnsi"/>
        </w:rPr>
        <w:t xml:space="preserve">What is less unknown is the UK’s ability to conduct surveillance of disease from imported food products, that can cause harm to domestic farm animals. This is due to the UK’s recent decision to delay any checks on food imports coming into the UK following EU Exit. All food products exported to the EU face a stringent </w:t>
      </w:r>
      <w:r w:rsidR="001F3BB5">
        <w:rPr>
          <w:rFonts w:asciiTheme="minorHAnsi" w:hAnsiTheme="minorHAnsi"/>
        </w:rPr>
        <w:t>process</w:t>
      </w:r>
      <w:r>
        <w:rPr>
          <w:rFonts w:asciiTheme="minorHAnsi" w:hAnsiTheme="minorHAnsi"/>
        </w:rPr>
        <w:t xml:space="preserve"> to enable them to access the EU market</w:t>
      </w:r>
      <w:r w:rsidR="001F3BB5">
        <w:rPr>
          <w:rFonts w:asciiTheme="minorHAnsi" w:hAnsiTheme="minorHAnsi"/>
        </w:rPr>
        <w:t>, however the same process is not applied in the reverse which leaves our UK domestic production base at risk from disease such as African Swine Fever.</w:t>
      </w:r>
    </w:p>
    <w:p w14:paraId="27413CAF" w14:textId="2E23B2F3" w:rsidR="001F3BB5" w:rsidRDefault="001F3BB5" w:rsidP="001F3BB5">
      <w:pPr>
        <w:rPr>
          <w:rFonts w:asciiTheme="minorHAnsi" w:hAnsiTheme="minorHAnsi"/>
        </w:rPr>
      </w:pPr>
    </w:p>
    <w:p w14:paraId="2A94D1F2" w14:textId="77777777" w:rsidR="001F3BB5" w:rsidRPr="001F3BB5" w:rsidRDefault="001F3BB5" w:rsidP="001F3BB5">
      <w:pPr>
        <w:rPr>
          <w:rFonts w:asciiTheme="minorHAnsi" w:hAnsiTheme="minorHAnsi"/>
        </w:rPr>
      </w:pPr>
    </w:p>
    <w:p w14:paraId="54FF4BC8" w14:textId="77777777" w:rsidR="00955885" w:rsidRPr="00955885" w:rsidRDefault="00955885" w:rsidP="00955885">
      <w:pPr>
        <w:pStyle w:val="ListParagraph"/>
        <w:rPr>
          <w:b/>
          <w:bCs/>
        </w:rPr>
      </w:pPr>
    </w:p>
    <w:p w14:paraId="15D4CB93" w14:textId="7FC29D64" w:rsidR="00955885" w:rsidRDefault="00955885" w:rsidP="006C0511">
      <w:pPr>
        <w:pStyle w:val="ListParagraph"/>
        <w:numPr>
          <w:ilvl w:val="0"/>
          <w:numId w:val="38"/>
        </w:numPr>
        <w:rPr>
          <w:b/>
          <w:bCs/>
        </w:rPr>
      </w:pPr>
      <w:r w:rsidRPr="00955885">
        <w:rPr>
          <w:b/>
          <w:bCs/>
        </w:rPr>
        <w:lastRenderedPageBreak/>
        <w:t>What impact will the new UK-EU agreement have on moving animals across the Irish border and between GB and the EU/Northern Ireland?</w:t>
      </w:r>
    </w:p>
    <w:p w14:paraId="3A2C65C0" w14:textId="77777777" w:rsidR="00955885" w:rsidRDefault="00955885" w:rsidP="00955885">
      <w:pPr>
        <w:pStyle w:val="ListParagraph"/>
        <w:ind w:left="0"/>
      </w:pPr>
    </w:p>
    <w:p w14:paraId="754FA27C" w14:textId="77777777" w:rsidR="00955885" w:rsidRPr="008B0E6A" w:rsidRDefault="00955885" w:rsidP="00955885">
      <w:pPr>
        <w:pStyle w:val="ListParagraph"/>
        <w:numPr>
          <w:ilvl w:val="0"/>
          <w:numId w:val="39"/>
        </w:numPr>
        <w:ind w:left="1080"/>
        <w:rPr>
          <w:rFonts w:asciiTheme="minorHAnsi" w:hAnsiTheme="minorHAnsi"/>
        </w:rPr>
      </w:pPr>
      <w:r w:rsidRPr="008B0E6A">
        <w:rPr>
          <w:rFonts w:asciiTheme="minorHAnsi" w:hAnsiTheme="minorHAnsi"/>
        </w:rPr>
        <w:t>BCMS live export stats which show that the number of cattle moving from GB to NI in January 2021 fell to only 2 compared to 541 in January 2020, with zero moves registered to other countries compared to 56 in January 2020. </w:t>
      </w:r>
    </w:p>
    <w:p w14:paraId="1D8BAAC8" w14:textId="77777777" w:rsidR="001E2890" w:rsidRPr="008B0E6A" w:rsidRDefault="00955885" w:rsidP="00955885">
      <w:pPr>
        <w:pStyle w:val="ListParagraph"/>
        <w:numPr>
          <w:ilvl w:val="0"/>
          <w:numId w:val="39"/>
        </w:numPr>
        <w:ind w:left="1080"/>
        <w:rPr>
          <w:rFonts w:asciiTheme="minorHAnsi" w:hAnsiTheme="minorHAnsi"/>
        </w:rPr>
      </w:pPr>
      <w:r w:rsidRPr="008B0E6A">
        <w:rPr>
          <w:rFonts w:asciiTheme="minorHAnsi" w:hAnsiTheme="minorHAnsi"/>
        </w:rPr>
        <w:t xml:space="preserve"> The need to re-tag animals arriving in the single market from third countries and standstill periods would appear to be a barrier</w:t>
      </w:r>
      <w:r w:rsidR="001E2890" w:rsidRPr="008B0E6A">
        <w:rPr>
          <w:rFonts w:asciiTheme="minorHAnsi" w:hAnsiTheme="minorHAnsi"/>
        </w:rPr>
        <w:t xml:space="preserve"> to moving animals, either because rules are unclear or because farmers have low confidence in the system.</w:t>
      </w:r>
    </w:p>
    <w:p w14:paraId="36E6DCFF" w14:textId="75A77C5A" w:rsidR="00955885" w:rsidRPr="008B0E6A" w:rsidRDefault="001E2890" w:rsidP="00955885">
      <w:pPr>
        <w:pStyle w:val="ListParagraph"/>
        <w:numPr>
          <w:ilvl w:val="0"/>
          <w:numId w:val="39"/>
        </w:numPr>
        <w:ind w:left="1080"/>
        <w:rPr>
          <w:rFonts w:asciiTheme="minorHAnsi" w:hAnsiTheme="minorHAnsi"/>
        </w:rPr>
      </w:pPr>
      <w:r w:rsidRPr="008B0E6A">
        <w:rPr>
          <w:rFonts w:asciiTheme="minorHAnsi" w:hAnsiTheme="minorHAnsi"/>
        </w:rPr>
        <w:t>S</w:t>
      </w:r>
      <w:r w:rsidR="00955885" w:rsidRPr="008B0E6A">
        <w:rPr>
          <w:rFonts w:asciiTheme="minorHAnsi" w:hAnsiTheme="minorHAnsi"/>
        </w:rPr>
        <w:t xml:space="preserve">hort-term movements to GB for shows </w:t>
      </w:r>
      <w:proofErr w:type="gramStart"/>
      <w:r w:rsidR="00955885" w:rsidRPr="008B0E6A">
        <w:rPr>
          <w:rFonts w:asciiTheme="minorHAnsi" w:hAnsiTheme="minorHAnsi"/>
        </w:rPr>
        <w:t>is</w:t>
      </w:r>
      <w:proofErr w:type="gramEnd"/>
      <w:r w:rsidR="00955885" w:rsidRPr="008B0E6A">
        <w:rPr>
          <w:rFonts w:asciiTheme="minorHAnsi" w:hAnsiTheme="minorHAnsi"/>
        </w:rPr>
        <w:t xml:space="preserve"> no longer allowe</w:t>
      </w:r>
      <w:r w:rsidRPr="008B0E6A">
        <w:rPr>
          <w:rFonts w:asciiTheme="minorHAnsi" w:hAnsiTheme="minorHAnsi"/>
        </w:rPr>
        <w:t xml:space="preserve">d which will limit moves for this purpose. </w:t>
      </w:r>
    </w:p>
    <w:p w14:paraId="571D2946" w14:textId="4CD9F8E5" w:rsidR="00955885" w:rsidRPr="008B0E6A" w:rsidRDefault="00955885" w:rsidP="00955885">
      <w:pPr>
        <w:pStyle w:val="ListParagraph"/>
        <w:numPr>
          <w:ilvl w:val="0"/>
          <w:numId w:val="39"/>
        </w:numPr>
        <w:ind w:left="1080"/>
        <w:rPr>
          <w:rFonts w:asciiTheme="minorHAnsi" w:hAnsiTheme="minorHAnsi"/>
        </w:rPr>
      </w:pPr>
      <w:r w:rsidRPr="008B0E6A">
        <w:rPr>
          <w:rFonts w:asciiTheme="minorHAnsi" w:hAnsiTheme="minorHAnsi"/>
        </w:rPr>
        <w:t xml:space="preserve">  </w:t>
      </w:r>
      <w:r w:rsidR="001E2890" w:rsidRPr="008B0E6A">
        <w:rPr>
          <w:rFonts w:asciiTheme="minorHAnsi" w:hAnsiTheme="minorHAnsi"/>
        </w:rPr>
        <w:t>There is a specific issue within some breeds of Scottish sheep around being Scrapie approved.</w:t>
      </w:r>
      <w:r w:rsidR="008B0E6A">
        <w:rPr>
          <w:rFonts w:asciiTheme="minorHAnsi" w:hAnsiTheme="minorHAnsi"/>
        </w:rPr>
        <w:t xml:space="preserve"> This is having a significant impact on trade and genetic progress of the blackface sheep breed, with Northern Irish breeders effectively being cut off from using Scottish Genetics and vice versa. </w:t>
      </w:r>
      <w:r w:rsidR="001E2890" w:rsidRPr="008B0E6A">
        <w:rPr>
          <w:rFonts w:asciiTheme="minorHAnsi" w:hAnsiTheme="minorHAnsi"/>
        </w:rPr>
        <w:t xml:space="preserve"> </w:t>
      </w:r>
      <w:r w:rsidR="008B0E6A">
        <w:rPr>
          <w:rFonts w:asciiTheme="minorHAnsi" w:hAnsiTheme="minorHAnsi"/>
        </w:rPr>
        <w:t xml:space="preserve">The solution of becoming a scrapie monitored flock is not possible for many blackface sheep breeders to achieve, and so trade has almost totally ceased. </w:t>
      </w:r>
    </w:p>
    <w:p w14:paraId="0A264C21" w14:textId="77777777" w:rsidR="00955885" w:rsidRPr="00955885" w:rsidRDefault="00955885" w:rsidP="00955885">
      <w:pPr>
        <w:pStyle w:val="ListParagraph"/>
        <w:ind w:left="2520"/>
        <w:rPr>
          <w:b/>
          <w:bCs/>
        </w:rPr>
      </w:pPr>
    </w:p>
    <w:p w14:paraId="7A61A3C4" w14:textId="77777777" w:rsidR="00955885" w:rsidRPr="00955885" w:rsidRDefault="00955885" w:rsidP="00955885">
      <w:pPr>
        <w:pStyle w:val="ListParagraph"/>
        <w:rPr>
          <w:b/>
          <w:bCs/>
        </w:rPr>
      </w:pPr>
    </w:p>
    <w:p w14:paraId="1D7FDCD9" w14:textId="01ED82D1" w:rsidR="00D679A6" w:rsidRDefault="00955885" w:rsidP="006C0511">
      <w:pPr>
        <w:pStyle w:val="ListParagraph"/>
        <w:numPr>
          <w:ilvl w:val="0"/>
          <w:numId w:val="38"/>
        </w:numPr>
        <w:rPr>
          <w:b/>
          <w:bCs/>
        </w:rPr>
      </w:pPr>
      <w:r w:rsidRPr="00955885">
        <w:rPr>
          <w:b/>
          <w:bCs/>
        </w:rPr>
        <w:t>How should the Government balance animal health and welfare alongside economic interests?  </w:t>
      </w:r>
    </w:p>
    <w:p w14:paraId="0FC0416E" w14:textId="77777777" w:rsidR="00D679A6" w:rsidRDefault="00D679A6" w:rsidP="00D679A6">
      <w:pPr>
        <w:pStyle w:val="ListParagraph"/>
        <w:rPr>
          <w:b/>
          <w:bCs/>
        </w:rPr>
      </w:pPr>
    </w:p>
    <w:p w14:paraId="11B55D42" w14:textId="4D168006" w:rsidR="00D679A6" w:rsidRPr="001F3BB5" w:rsidRDefault="001F3BB5" w:rsidP="001F3BB5">
      <w:pPr>
        <w:pStyle w:val="ListParagraph"/>
        <w:numPr>
          <w:ilvl w:val="0"/>
          <w:numId w:val="48"/>
        </w:numPr>
        <w:rPr>
          <w:rFonts w:asciiTheme="minorHAnsi" w:hAnsiTheme="minorHAnsi"/>
        </w:rPr>
      </w:pPr>
      <w:r w:rsidRPr="001F3BB5">
        <w:rPr>
          <w:rFonts w:asciiTheme="minorHAnsi" w:hAnsiTheme="minorHAnsi"/>
        </w:rPr>
        <w:t xml:space="preserve">Economic interests in the livestock and red meat industry are interlinked with animal health and welfare- high levels of animal health and welfare will lead to increased productivity, increased economic </w:t>
      </w:r>
      <w:proofErr w:type="gramStart"/>
      <w:r w:rsidRPr="001F3BB5">
        <w:rPr>
          <w:rFonts w:asciiTheme="minorHAnsi" w:hAnsiTheme="minorHAnsi"/>
        </w:rPr>
        <w:t>output</w:t>
      </w:r>
      <w:proofErr w:type="gramEnd"/>
      <w:r w:rsidRPr="001F3BB5">
        <w:rPr>
          <w:rFonts w:asciiTheme="minorHAnsi" w:hAnsiTheme="minorHAnsi"/>
        </w:rPr>
        <w:t xml:space="preserve"> and produces a red meat product that consumers demand. High standards of welfare and maintaining these high standards has been consistently highlighted in consumer testing</w:t>
      </w:r>
      <w:r>
        <w:rPr>
          <w:rFonts w:asciiTheme="minorHAnsi" w:hAnsiTheme="minorHAnsi"/>
        </w:rPr>
        <w:t xml:space="preserve"> as a priority for purchase. It is imperative that economic, health and welfare alongside social and environmental impacts are assessed whenever policy decisions are made. </w:t>
      </w:r>
    </w:p>
    <w:p w14:paraId="6D7D462F" w14:textId="003A52A1" w:rsidR="00955885" w:rsidRDefault="00955885" w:rsidP="00955885">
      <w:pPr>
        <w:pStyle w:val="ListParagraph"/>
        <w:rPr>
          <w:b/>
          <w:bCs/>
        </w:rPr>
      </w:pPr>
    </w:p>
    <w:p w14:paraId="58808E87" w14:textId="56E8B90B" w:rsidR="00722120" w:rsidRDefault="00722120" w:rsidP="00955885">
      <w:pPr>
        <w:pStyle w:val="ListParagraph"/>
        <w:rPr>
          <w:b/>
          <w:bCs/>
        </w:rPr>
      </w:pPr>
    </w:p>
    <w:p w14:paraId="390FC7B8" w14:textId="2D6DA6D3" w:rsidR="00722120" w:rsidRDefault="00722120" w:rsidP="00955885">
      <w:pPr>
        <w:pStyle w:val="ListParagraph"/>
        <w:rPr>
          <w:b/>
          <w:bCs/>
        </w:rPr>
      </w:pPr>
    </w:p>
    <w:p w14:paraId="62A5C358" w14:textId="77777777" w:rsidR="00722120" w:rsidRPr="00955885" w:rsidRDefault="00722120" w:rsidP="00955885">
      <w:pPr>
        <w:pStyle w:val="ListParagraph"/>
        <w:rPr>
          <w:b/>
          <w:bCs/>
        </w:rPr>
      </w:pPr>
    </w:p>
    <w:p w14:paraId="03D1E861" w14:textId="77777777" w:rsidR="00955885" w:rsidRPr="00955885" w:rsidRDefault="00955885" w:rsidP="00955885">
      <w:pPr>
        <w:pStyle w:val="ListParagraph"/>
        <w:rPr>
          <w:b/>
          <w:bCs/>
        </w:rPr>
      </w:pPr>
    </w:p>
    <w:p w14:paraId="776390CF" w14:textId="4285D8EC" w:rsidR="00955885" w:rsidRDefault="00955885" w:rsidP="00955885">
      <w:pPr>
        <w:rPr>
          <w:b/>
          <w:bCs/>
        </w:rPr>
      </w:pPr>
      <w:r w:rsidRPr="00955885">
        <w:rPr>
          <w:b/>
          <w:bCs/>
        </w:rPr>
        <w:t>Live animal exports:</w:t>
      </w:r>
    </w:p>
    <w:p w14:paraId="23DFA130" w14:textId="77777777" w:rsidR="00955885" w:rsidRPr="00955885" w:rsidRDefault="00955885" w:rsidP="00955885">
      <w:pPr>
        <w:rPr>
          <w:b/>
          <w:bCs/>
        </w:rPr>
      </w:pPr>
    </w:p>
    <w:p w14:paraId="5281E359" w14:textId="6D6DE6BA" w:rsidR="00955885" w:rsidRDefault="00955885" w:rsidP="001F3BB5">
      <w:pPr>
        <w:pStyle w:val="ListParagraph"/>
        <w:numPr>
          <w:ilvl w:val="0"/>
          <w:numId w:val="38"/>
        </w:numPr>
        <w:rPr>
          <w:b/>
          <w:bCs/>
        </w:rPr>
      </w:pPr>
      <w:r w:rsidRPr="00955885">
        <w:rPr>
          <w:b/>
          <w:bCs/>
        </w:rPr>
        <w:t xml:space="preserve">What impact will ending live animal exports for slaughter and fattening have on UK farmers, </w:t>
      </w:r>
      <w:proofErr w:type="gramStart"/>
      <w:r w:rsidRPr="00955885">
        <w:rPr>
          <w:b/>
          <w:bCs/>
        </w:rPr>
        <w:t>processors</w:t>
      </w:r>
      <w:proofErr w:type="gramEnd"/>
      <w:r w:rsidRPr="00955885">
        <w:rPr>
          <w:b/>
          <w:bCs/>
        </w:rPr>
        <w:t xml:space="preserve"> and other businesses</w:t>
      </w:r>
      <w:r>
        <w:rPr>
          <w:b/>
          <w:bCs/>
        </w:rPr>
        <w:t>?</w:t>
      </w:r>
    </w:p>
    <w:p w14:paraId="121F1867" w14:textId="77777777" w:rsidR="007F17A3" w:rsidRDefault="007F17A3" w:rsidP="007F17A3">
      <w:pPr>
        <w:pStyle w:val="ListParagraph"/>
        <w:rPr>
          <w:b/>
          <w:bCs/>
        </w:rPr>
      </w:pPr>
    </w:p>
    <w:p w14:paraId="08FF9183" w14:textId="20984431" w:rsidR="007F17A3" w:rsidRPr="001F3BB5" w:rsidRDefault="007F17A3" w:rsidP="001F3BB5">
      <w:pPr>
        <w:pStyle w:val="ListParagraph"/>
        <w:numPr>
          <w:ilvl w:val="0"/>
          <w:numId w:val="42"/>
        </w:numPr>
        <w:spacing w:after="160" w:line="259" w:lineRule="auto"/>
        <w:rPr>
          <w:rFonts w:asciiTheme="minorHAnsi" w:hAnsiTheme="minorHAnsi"/>
        </w:rPr>
      </w:pPr>
      <w:r w:rsidRPr="001F3BB5">
        <w:rPr>
          <w:rFonts w:asciiTheme="minorHAnsi" w:hAnsiTheme="minorHAnsi"/>
        </w:rPr>
        <w:t>With strategic</w:t>
      </w:r>
      <w:r w:rsidRPr="001F3BB5">
        <w:rPr>
          <w:rFonts w:asciiTheme="minorHAnsi" w:hAnsiTheme="minorHAnsi"/>
        </w:rPr>
        <w:t xml:space="preserve"> levels of investment in the red meat supply </w:t>
      </w:r>
      <w:r w:rsidR="001F3BB5" w:rsidRPr="001F3BB5">
        <w:rPr>
          <w:rFonts w:asciiTheme="minorHAnsi" w:hAnsiTheme="minorHAnsi"/>
        </w:rPr>
        <w:t>chain, ending</w:t>
      </w:r>
      <w:r w:rsidRPr="001F3BB5">
        <w:rPr>
          <w:rFonts w:asciiTheme="minorHAnsi" w:hAnsiTheme="minorHAnsi"/>
        </w:rPr>
        <w:t xml:space="preserve"> </w:t>
      </w:r>
      <w:r w:rsidRPr="001F3BB5">
        <w:rPr>
          <w:rFonts w:asciiTheme="minorHAnsi" w:hAnsiTheme="minorHAnsi"/>
        </w:rPr>
        <w:t xml:space="preserve">livestock and horse export journeys for slaughter </w:t>
      </w:r>
      <w:r w:rsidRPr="001F3BB5">
        <w:rPr>
          <w:rFonts w:asciiTheme="minorHAnsi" w:hAnsiTheme="minorHAnsi"/>
        </w:rPr>
        <w:t>should have limited impact on the red meat supply chain, and existing</w:t>
      </w:r>
      <w:r w:rsidRPr="001F3BB5">
        <w:rPr>
          <w:rFonts w:asciiTheme="minorHAnsi" w:hAnsiTheme="minorHAnsi"/>
        </w:rPr>
        <w:t xml:space="preserve"> resources within the red meat supply chain exist on mainland GB to process these animals here. The red meat products deriving from these animals can still be traded into the same market that they would be entering</w:t>
      </w:r>
      <w:r w:rsidRPr="001F3BB5">
        <w:rPr>
          <w:rFonts w:asciiTheme="minorHAnsi" w:hAnsiTheme="minorHAnsi"/>
        </w:rPr>
        <w:t xml:space="preserve"> if they were moved live.</w:t>
      </w:r>
    </w:p>
    <w:p w14:paraId="4F7DFE3E" w14:textId="18838CC8" w:rsidR="007F17A3" w:rsidRPr="009E5953" w:rsidRDefault="007F17A3" w:rsidP="007F17A3">
      <w:pPr>
        <w:numPr>
          <w:ilvl w:val="0"/>
          <w:numId w:val="42"/>
        </w:numPr>
        <w:spacing w:after="160" w:line="259" w:lineRule="auto"/>
        <w:contextualSpacing/>
        <w:rPr>
          <w:rFonts w:asciiTheme="minorHAnsi" w:hAnsiTheme="minorHAnsi"/>
        </w:rPr>
      </w:pPr>
      <w:r w:rsidRPr="009E5953">
        <w:rPr>
          <w:rFonts w:asciiTheme="minorHAnsi" w:hAnsiTheme="minorHAnsi"/>
        </w:rPr>
        <w:t xml:space="preserve">However, by banning live export, additional pigs, </w:t>
      </w:r>
      <w:r w:rsidR="001F3BB5" w:rsidRPr="009E5953">
        <w:rPr>
          <w:rFonts w:asciiTheme="minorHAnsi" w:hAnsiTheme="minorHAnsi"/>
        </w:rPr>
        <w:t>cattle,</w:t>
      </w:r>
      <w:r w:rsidRPr="009E5953">
        <w:rPr>
          <w:rFonts w:asciiTheme="minorHAnsi" w:hAnsiTheme="minorHAnsi"/>
        </w:rPr>
        <w:t xml:space="preserve"> and sheep would require processing within Great Britain. </w:t>
      </w:r>
    </w:p>
    <w:p w14:paraId="2F8F7E72" w14:textId="77777777" w:rsidR="007F17A3" w:rsidRPr="009E5953" w:rsidRDefault="007F17A3" w:rsidP="007F17A3">
      <w:pPr>
        <w:numPr>
          <w:ilvl w:val="0"/>
          <w:numId w:val="42"/>
        </w:numPr>
        <w:spacing w:after="160" w:line="259" w:lineRule="auto"/>
        <w:contextualSpacing/>
        <w:rPr>
          <w:rFonts w:asciiTheme="minorHAnsi" w:hAnsiTheme="minorHAnsi"/>
        </w:rPr>
      </w:pPr>
      <w:r w:rsidRPr="009E5953">
        <w:rPr>
          <w:rFonts w:asciiTheme="minorHAnsi" w:hAnsiTheme="minorHAnsi"/>
        </w:rPr>
        <w:t>In 2020, Defra slaughter data indicates that GB abattoirs handled 2.37m cattle, 14m sheep and nearly 9.3m pigs, so a ban of livestock exports for slaughter is unlikely to have a major impact on the market.</w:t>
      </w:r>
    </w:p>
    <w:p w14:paraId="2EF2A0CD" w14:textId="76F2CF64" w:rsidR="007F17A3" w:rsidRDefault="007F17A3" w:rsidP="007F17A3">
      <w:pPr>
        <w:numPr>
          <w:ilvl w:val="0"/>
          <w:numId w:val="42"/>
        </w:numPr>
        <w:spacing w:after="160" w:line="259" w:lineRule="auto"/>
        <w:contextualSpacing/>
        <w:rPr>
          <w:rFonts w:asciiTheme="minorHAnsi" w:hAnsiTheme="minorHAnsi"/>
        </w:rPr>
      </w:pPr>
      <w:r w:rsidRPr="009E5953">
        <w:rPr>
          <w:rFonts w:asciiTheme="minorHAnsi" w:hAnsiTheme="minorHAnsi"/>
        </w:rPr>
        <w:lastRenderedPageBreak/>
        <w:t xml:space="preserve"> For sheep, there could be some potential impact but, even if there was significant under-reporting and live exports from GB to continental Europe totalled 250,000 head, then that would still be less than 2% of current slaughter.  To put this into some context, there was a decline of more than 400,000 head in GB abattoirs’ sheep slaughtering between 2019 and 2020.  </w:t>
      </w:r>
    </w:p>
    <w:p w14:paraId="1AE013C1" w14:textId="77777777" w:rsidR="007F17A3" w:rsidRPr="009E5953" w:rsidRDefault="007F17A3" w:rsidP="007F17A3">
      <w:pPr>
        <w:numPr>
          <w:ilvl w:val="0"/>
          <w:numId w:val="42"/>
        </w:numPr>
        <w:spacing w:after="160" w:line="259" w:lineRule="auto"/>
        <w:contextualSpacing/>
        <w:rPr>
          <w:rFonts w:asciiTheme="minorHAnsi" w:hAnsiTheme="minorHAnsi"/>
        </w:rPr>
      </w:pPr>
      <w:r w:rsidRPr="009E5953">
        <w:rPr>
          <w:rFonts w:asciiTheme="minorHAnsi" w:hAnsiTheme="minorHAnsi"/>
        </w:rPr>
        <w:t>There would be a positive impact on QMS as an organisation, as an increase in domestic slaughtering would result in an increased levy return which is based on a levy paid per head slaughtered in Scotland. However, in order to cope with the increase of livestock slaughtering, some investment would be required in the red meat supply chain, including:</w:t>
      </w:r>
    </w:p>
    <w:p w14:paraId="2162950D" w14:textId="77777777" w:rsidR="007F17A3" w:rsidRPr="001F3BB5" w:rsidRDefault="007F17A3" w:rsidP="001F3BB5">
      <w:pPr>
        <w:pStyle w:val="ListParagraph"/>
        <w:numPr>
          <w:ilvl w:val="0"/>
          <w:numId w:val="50"/>
        </w:numPr>
        <w:spacing w:after="160" w:line="259" w:lineRule="auto"/>
        <w:rPr>
          <w:rFonts w:asciiTheme="minorHAnsi" w:hAnsiTheme="minorHAnsi"/>
        </w:rPr>
      </w:pPr>
      <w:r w:rsidRPr="001F3BB5">
        <w:rPr>
          <w:rFonts w:asciiTheme="minorHAnsi" w:hAnsiTheme="minorHAnsi"/>
        </w:rPr>
        <w:t>At farm level to ensure that additional farmers are able to finish livestock that is currently exported for further finishing. This may include investment in on farm infrastructure such as sheds and fencing, and in skills training such as for additional farm labour.</w:t>
      </w:r>
    </w:p>
    <w:p w14:paraId="5C97CDB3" w14:textId="46BB2F75" w:rsidR="00955885" w:rsidRDefault="00955885" w:rsidP="00955885">
      <w:pPr>
        <w:rPr>
          <w:b/>
          <w:bCs/>
        </w:rPr>
      </w:pPr>
    </w:p>
    <w:p w14:paraId="161876C5" w14:textId="77777777" w:rsidR="00955885" w:rsidRPr="00955885" w:rsidRDefault="00955885" w:rsidP="00955885">
      <w:pPr>
        <w:rPr>
          <w:b/>
          <w:bCs/>
        </w:rPr>
      </w:pPr>
    </w:p>
    <w:p w14:paraId="329BD36C" w14:textId="107D4C7C" w:rsidR="00955885" w:rsidRDefault="00955885" w:rsidP="001F3BB5">
      <w:pPr>
        <w:pStyle w:val="ListParagraph"/>
        <w:numPr>
          <w:ilvl w:val="0"/>
          <w:numId w:val="38"/>
        </w:numPr>
        <w:rPr>
          <w:b/>
          <w:bCs/>
        </w:rPr>
      </w:pPr>
      <w:r w:rsidRPr="00955885">
        <w:rPr>
          <w:b/>
          <w:bCs/>
        </w:rPr>
        <w:t>Does the UK have sufficient capacity to slaughter and process animals that are currently exported? If not, what could be improved?</w:t>
      </w:r>
    </w:p>
    <w:p w14:paraId="31EBDBFB" w14:textId="77777777" w:rsidR="007F17A3" w:rsidRDefault="007F17A3" w:rsidP="007F17A3">
      <w:pPr>
        <w:pStyle w:val="ListParagraph"/>
        <w:rPr>
          <w:b/>
          <w:bCs/>
        </w:rPr>
      </w:pPr>
    </w:p>
    <w:p w14:paraId="0DB19B69" w14:textId="11570852" w:rsidR="007F17A3" w:rsidRPr="007F17A3" w:rsidRDefault="007F17A3" w:rsidP="001F3BB5">
      <w:pPr>
        <w:pStyle w:val="ListParagraph"/>
        <w:numPr>
          <w:ilvl w:val="0"/>
          <w:numId w:val="49"/>
        </w:numPr>
        <w:spacing w:after="160" w:line="259" w:lineRule="auto"/>
        <w:rPr>
          <w:rFonts w:asciiTheme="minorHAnsi" w:hAnsiTheme="minorHAnsi"/>
        </w:rPr>
      </w:pPr>
      <w:r w:rsidRPr="007F17A3">
        <w:rPr>
          <w:rFonts w:asciiTheme="minorHAnsi" w:hAnsiTheme="minorHAnsi"/>
        </w:rPr>
        <w:t xml:space="preserve">Based on the numbers that are currently exported live, there should be capacity within the GB processing sector, however depending on seasonality, additional investment may be required to ensure that increased throughput can be maintained, and that routes to European market are open. Brexit has increased the regulatory burden on red meat processors and has also significantly increased the costs of exporting product, so if additional livestock are to be processed that would ordinarily be placed on the European market, this would incur additional cost for our processing sector. </w:t>
      </w:r>
    </w:p>
    <w:p w14:paraId="1069A427" w14:textId="598F4074" w:rsidR="007F17A3" w:rsidRPr="001F3BB5" w:rsidRDefault="007F17A3" w:rsidP="001F3BB5">
      <w:pPr>
        <w:pStyle w:val="ListParagraph"/>
        <w:numPr>
          <w:ilvl w:val="0"/>
          <w:numId w:val="49"/>
        </w:numPr>
        <w:rPr>
          <w:rFonts w:asciiTheme="minorHAnsi" w:hAnsiTheme="minorHAnsi"/>
        </w:rPr>
      </w:pPr>
      <w:r w:rsidRPr="001F3BB5">
        <w:rPr>
          <w:rFonts w:asciiTheme="minorHAnsi" w:hAnsiTheme="minorHAnsi"/>
        </w:rPr>
        <w:t xml:space="preserve">The distribution of processing capacity in the UK is not even, with significant consolidation within the processing sector taking place within recent years, leading to many remote rural communities being a significant journey from processing facilities. What could be improved is investment within smaller scale regional processing facilities that could help service rural and remote communities, helping to increase provenance and traceability of products and adding value. </w:t>
      </w:r>
    </w:p>
    <w:p w14:paraId="4584F924" w14:textId="77777777" w:rsidR="00577C2D" w:rsidRDefault="00577C2D" w:rsidP="00955885">
      <w:pPr>
        <w:pStyle w:val="ListParagraph"/>
        <w:ind w:left="1080"/>
        <w:jc w:val="both"/>
      </w:pPr>
    </w:p>
    <w:sectPr w:rsidR="00577C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5D442" w14:textId="77777777" w:rsidR="00825F08" w:rsidRDefault="00825F08" w:rsidP="00321D02">
      <w:r>
        <w:separator/>
      </w:r>
    </w:p>
  </w:endnote>
  <w:endnote w:type="continuationSeparator" w:id="0">
    <w:p w14:paraId="3D088F87" w14:textId="77777777" w:rsidR="00825F08" w:rsidRDefault="00825F08" w:rsidP="0032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4934" w14:textId="77777777" w:rsidR="00321D02" w:rsidRDefault="00321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D8C0E" w14:textId="77777777" w:rsidR="00321D02" w:rsidRDefault="00321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C0751" w14:textId="77777777" w:rsidR="00321D02" w:rsidRDefault="0032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367B1" w14:textId="77777777" w:rsidR="00825F08" w:rsidRDefault="00825F08" w:rsidP="00321D02">
      <w:r>
        <w:separator/>
      </w:r>
    </w:p>
  </w:footnote>
  <w:footnote w:type="continuationSeparator" w:id="0">
    <w:p w14:paraId="35829C7E" w14:textId="77777777" w:rsidR="00825F08" w:rsidRDefault="00825F08" w:rsidP="0032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2E628" w14:textId="77777777" w:rsidR="00321D02" w:rsidRDefault="00321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5DFF3" w14:textId="065243BE" w:rsidR="00321D02" w:rsidRDefault="00321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45A62" w14:textId="77777777" w:rsidR="00321D02" w:rsidRDefault="0032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6638"/>
    <w:multiLevelType w:val="hybridMultilevel"/>
    <w:tmpl w:val="8A8A407C"/>
    <w:lvl w:ilvl="0" w:tplc="3EB8AB5C">
      <w:start w:val="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A2133"/>
    <w:multiLevelType w:val="hybridMultilevel"/>
    <w:tmpl w:val="CB5E91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52555"/>
    <w:multiLevelType w:val="hybridMultilevel"/>
    <w:tmpl w:val="CFE89C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3649A"/>
    <w:multiLevelType w:val="multilevel"/>
    <w:tmpl w:val="7A7A0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17780F"/>
    <w:multiLevelType w:val="hybridMultilevel"/>
    <w:tmpl w:val="808C0798"/>
    <w:lvl w:ilvl="0" w:tplc="C4CC5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D5F4B"/>
    <w:multiLevelType w:val="hybridMultilevel"/>
    <w:tmpl w:val="16DA32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210805"/>
    <w:multiLevelType w:val="hybridMultilevel"/>
    <w:tmpl w:val="FFECBC88"/>
    <w:lvl w:ilvl="0" w:tplc="4F4C6802">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2686A"/>
    <w:multiLevelType w:val="hybridMultilevel"/>
    <w:tmpl w:val="9C0E3516"/>
    <w:lvl w:ilvl="0" w:tplc="1A06B0EA">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2CA1053"/>
    <w:multiLevelType w:val="multilevel"/>
    <w:tmpl w:val="D7F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F32DD"/>
    <w:multiLevelType w:val="hybridMultilevel"/>
    <w:tmpl w:val="10B8AA7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406FB"/>
    <w:multiLevelType w:val="hybridMultilevel"/>
    <w:tmpl w:val="0DDE3A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E12F1"/>
    <w:multiLevelType w:val="hybridMultilevel"/>
    <w:tmpl w:val="C2AAA3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F93AED"/>
    <w:multiLevelType w:val="hybridMultilevel"/>
    <w:tmpl w:val="86A61874"/>
    <w:lvl w:ilvl="0" w:tplc="4D04DFB4">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21548"/>
    <w:multiLevelType w:val="hybridMultilevel"/>
    <w:tmpl w:val="B41C10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674E0"/>
    <w:multiLevelType w:val="multilevel"/>
    <w:tmpl w:val="07B03044"/>
    <w:lvl w:ilvl="0">
      <w:start w:val="2"/>
      <w:numFmt w:val="decimal"/>
      <w:lvlText w:val="%1.0"/>
      <w:lvlJc w:val="left"/>
      <w:pPr>
        <w:ind w:left="108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5" w15:restartNumberingAfterBreak="0">
    <w:nsid w:val="2C1B4356"/>
    <w:multiLevelType w:val="hybridMultilevel"/>
    <w:tmpl w:val="D4823B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210B96"/>
    <w:multiLevelType w:val="hybridMultilevel"/>
    <w:tmpl w:val="8F6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44FE4"/>
    <w:multiLevelType w:val="hybridMultilevel"/>
    <w:tmpl w:val="30F8D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B42CD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3F3766C1"/>
    <w:multiLevelType w:val="hybridMultilevel"/>
    <w:tmpl w:val="904AF2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D4DB3"/>
    <w:multiLevelType w:val="multilevel"/>
    <w:tmpl w:val="05B09E1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46F1739"/>
    <w:multiLevelType w:val="hybridMultilevel"/>
    <w:tmpl w:val="81A65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2632F7"/>
    <w:multiLevelType w:val="hybridMultilevel"/>
    <w:tmpl w:val="D5826C52"/>
    <w:lvl w:ilvl="0" w:tplc="6F58E7F8">
      <w:start w:val="1"/>
      <w:numFmt w:val="lowerLetter"/>
      <w:lvlText w:val="%1-"/>
      <w:lvlJc w:val="left"/>
      <w:pPr>
        <w:ind w:left="1080" w:hanging="360"/>
      </w:pPr>
      <w:rPr>
        <w:rFonts w:asciiTheme="minorHAnsi" w:hAnsiTheme="minorHAns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B5037E"/>
    <w:multiLevelType w:val="hybridMultilevel"/>
    <w:tmpl w:val="69C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61492"/>
    <w:multiLevelType w:val="hybridMultilevel"/>
    <w:tmpl w:val="34447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D85379E"/>
    <w:multiLevelType w:val="hybridMultilevel"/>
    <w:tmpl w:val="5F5473A2"/>
    <w:lvl w:ilvl="0" w:tplc="E31676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F1637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F2096"/>
    <w:multiLevelType w:val="hybridMultilevel"/>
    <w:tmpl w:val="8776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282"/>
    <w:multiLevelType w:val="hybridMultilevel"/>
    <w:tmpl w:val="AE1012FC"/>
    <w:lvl w:ilvl="0" w:tplc="1C3A4E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9117D5"/>
    <w:multiLevelType w:val="hybridMultilevel"/>
    <w:tmpl w:val="26004A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5BE2B30"/>
    <w:multiLevelType w:val="hybridMultilevel"/>
    <w:tmpl w:val="F5E4C7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5EA27A7"/>
    <w:multiLevelType w:val="hybridMultilevel"/>
    <w:tmpl w:val="19F2A6CE"/>
    <w:lvl w:ilvl="0" w:tplc="97065F8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773EC"/>
    <w:multiLevelType w:val="hybridMultilevel"/>
    <w:tmpl w:val="BE52E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D5421"/>
    <w:multiLevelType w:val="hybridMultilevel"/>
    <w:tmpl w:val="6A66410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A75B1C"/>
    <w:multiLevelType w:val="hybridMultilevel"/>
    <w:tmpl w:val="19F2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46EF1"/>
    <w:multiLevelType w:val="hybridMultilevel"/>
    <w:tmpl w:val="53B60312"/>
    <w:lvl w:ilvl="0" w:tplc="5AF86A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D4143F6"/>
    <w:multiLevelType w:val="hybridMultilevel"/>
    <w:tmpl w:val="ED36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F1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80028A"/>
    <w:multiLevelType w:val="hybridMultilevel"/>
    <w:tmpl w:val="1F066E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3E109CF"/>
    <w:multiLevelType w:val="multilevel"/>
    <w:tmpl w:val="D068D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53633E"/>
    <w:multiLevelType w:val="hybridMultilevel"/>
    <w:tmpl w:val="2B220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5B70F0"/>
    <w:multiLevelType w:val="hybridMultilevel"/>
    <w:tmpl w:val="63A4E0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4F0EE4"/>
    <w:multiLevelType w:val="hybridMultilevel"/>
    <w:tmpl w:val="C43A6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82A5131"/>
    <w:multiLevelType w:val="hybridMultilevel"/>
    <w:tmpl w:val="104217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BA5569C"/>
    <w:multiLevelType w:val="hybridMultilevel"/>
    <w:tmpl w:val="0C14B9E8"/>
    <w:lvl w:ilvl="0" w:tplc="DA78DA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3C53ED"/>
    <w:multiLevelType w:val="hybridMultilevel"/>
    <w:tmpl w:val="DCA430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69246B"/>
    <w:multiLevelType w:val="hybridMultilevel"/>
    <w:tmpl w:val="3C9ED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380822"/>
    <w:multiLevelType w:val="hybridMultilevel"/>
    <w:tmpl w:val="3D320DA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6646D5"/>
    <w:multiLevelType w:val="multilevel"/>
    <w:tmpl w:val="28221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FC27E30"/>
    <w:multiLevelType w:val="multilevel"/>
    <w:tmpl w:val="AF3877C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7"/>
  </w:num>
  <w:num w:numId="3">
    <w:abstractNumId w:val="32"/>
  </w:num>
  <w:num w:numId="4">
    <w:abstractNumId w:val="34"/>
  </w:num>
  <w:num w:numId="5">
    <w:abstractNumId w:val="45"/>
  </w:num>
  <w:num w:numId="6">
    <w:abstractNumId w:val="47"/>
  </w:num>
  <w:num w:numId="7">
    <w:abstractNumId w:val="2"/>
  </w:num>
  <w:num w:numId="8">
    <w:abstractNumId w:val="37"/>
  </w:num>
  <w:num w:numId="9">
    <w:abstractNumId w:val="49"/>
  </w:num>
  <w:num w:numId="10">
    <w:abstractNumId w:val="26"/>
  </w:num>
  <w:num w:numId="11">
    <w:abstractNumId w:val="14"/>
  </w:num>
  <w:num w:numId="12">
    <w:abstractNumId w:val="25"/>
  </w:num>
  <w:num w:numId="13">
    <w:abstractNumId w:val="9"/>
  </w:num>
  <w:num w:numId="14">
    <w:abstractNumId w:val="18"/>
  </w:num>
  <w:num w:numId="15">
    <w:abstractNumId w:val="20"/>
  </w:num>
  <w:num w:numId="16">
    <w:abstractNumId w:val="5"/>
  </w:num>
  <w:num w:numId="17">
    <w:abstractNumId w:val="24"/>
  </w:num>
  <w:num w:numId="18">
    <w:abstractNumId w:val="1"/>
  </w:num>
  <w:num w:numId="19">
    <w:abstractNumId w:val="36"/>
  </w:num>
  <w:num w:numId="20">
    <w:abstractNumId w:val="13"/>
  </w:num>
  <w:num w:numId="21">
    <w:abstractNumId w:val="40"/>
  </w:num>
  <w:num w:numId="22">
    <w:abstractNumId w:val="15"/>
  </w:num>
  <w:num w:numId="23">
    <w:abstractNumId w:val="10"/>
  </w:num>
  <w:num w:numId="24">
    <w:abstractNumId w:val="33"/>
  </w:num>
  <w:num w:numId="25">
    <w:abstractNumId w:val="17"/>
  </w:num>
  <w:num w:numId="26">
    <w:abstractNumId w:val="30"/>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9"/>
  </w:num>
  <w:num w:numId="33">
    <w:abstractNumId w:val="46"/>
  </w:num>
  <w:num w:numId="34">
    <w:abstractNumId w:val="12"/>
  </w:num>
  <w:num w:numId="35">
    <w:abstractNumId w:val="43"/>
  </w:num>
  <w:num w:numId="36">
    <w:abstractNumId w:val="23"/>
  </w:num>
  <w:num w:numId="37">
    <w:abstractNumId w:val="4"/>
  </w:num>
  <w:num w:numId="38">
    <w:abstractNumId w:val="41"/>
  </w:num>
  <w:num w:numId="39">
    <w:abstractNumId w:val="7"/>
  </w:num>
  <w:num w:numId="40">
    <w:abstractNumId w:val="0"/>
  </w:num>
  <w:num w:numId="41">
    <w:abstractNumId w:val="21"/>
  </w:num>
  <w:num w:numId="42">
    <w:abstractNumId w:val="6"/>
  </w:num>
  <w:num w:numId="43">
    <w:abstractNumId w:val="29"/>
  </w:num>
  <w:num w:numId="44">
    <w:abstractNumId w:val="11"/>
  </w:num>
  <w:num w:numId="45">
    <w:abstractNumId w:val="22"/>
  </w:num>
  <w:num w:numId="46">
    <w:abstractNumId w:val="35"/>
  </w:num>
  <w:num w:numId="47">
    <w:abstractNumId w:val="31"/>
  </w:num>
  <w:num w:numId="48">
    <w:abstractNumId w:val="44"/>
  </w:num>
  <w:num w:numId="49">
    <w:abstractNumId w:val="2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B0"/>
    <w:rsid w:val="00002E0E"/>
    <w:rsid w:val="00015A0A"/>
    <w:rsid w:val="0005274C"/>
    <w:rsid w:val="00063F42"/>
    <w:rsid w:val="00077B73"/>
    <w:rsid w:val="000B053F"/>
    <w:rsid w:val="000B3626"/>
    <w:rsid w:val="000D3AA9"/>
    <w:rsid w:val="00152971"/>
    <w:rsid w:val="00156D1B"/>
    <w:rsid w:val="001643EB"/>
    <w:rsid w:val="001E2890"/>
    <w:rsid w:val="001F3BB5"/>
    <w:rsid w:val="001F59DD"/>
    <w:rsid w:val="002162D0"/>
    <w:rsid w:val="00231A1A"/>
    <w:rsid w:val="0024789C"/>
    <w:rsid w:val="002A4507"/>
    <w:rsid w:val="002B4636"/>
    <w:rsid w:val="002D600A"/>
    <w:rsid w:val="00321D02"/>
    <w:rsid w:val="00331CE6"/>
    <w:rsid w:val="00382B2C"/>
    <w:rsid w:val="00384816"/>
    <w:rsid w:val="003928EE"/>
    <w:rsid w:val="003C28ED"/>
    <w:rsid w:val="003C371A"/>
    <w:rsid w:val="0047458E"/>
    <w:rsid w:val="004B544B"/>
    <w:rsid w:val="004B70B0"/>
    <w:rsid w:val="004F25EA"/>
    <w:rsid w:val="004F2774"/>
    <w:rsid w:val="00526E2A"/>
    <w:rsid w:val="00541CBD"/>
    <w:rsid w:val="00546D8F"/>
    <w:rsid w:val="00577C2D"/>
    <w:rsid w:val="005C7A82"/>
    <w:rsid w:val="00602AB2"/>
    <w:rsid w:val="00681B0D"/>
    <w:rsid w:val="006A0127"/>
    <w:rsid w:val="006C0511"/>
    <w:rsid w:val="006E17DF"/>
    <w:rsid w:val="00722120"/>
    <w:rsid w:val="007647E3"/>
    <w:rsid w:val="00772903"/>
    <w:rsid w:val="007F17A3"/>
    <w:rsid w:val="00815682"/>
    <w:rsid w:val="00825F08"/>
    <w:rsid w:val="00867505"/>
    <w:rsid w:val="00882538"/>
    <w:rsid w:val="008855E3"/>
    <w:rsid w:val="00897C83"/>
    <w:rsid w:val="008B0E6A"/>
    <w:rsid w:val="008D0F44"/>
    <w:rsid w:val="00955885"/>
    <w:rsid w:val="0098260D"/>
    <w:rsid w:val="00A12C7F"/>
    <w:rsid w:val="00A971DC"/>
    <w:rsid w:val="00AA3F0C"/>
    <w:rsid w:val="00AB617D"/>
    <w:rsid w:val="00AD01B6"/>
    <w:rsid w:val="00AD45B9"/>
    <w:rsid w:val="00AD5A43"/>
    <w:rsid w:val="00AF7BC1"/>
    <w:rsid w:val="00B4783A"/>
    <w:rsid w:val="00B62B38"/>
    <w:rsid w:val="00BB1310"/>
    <w:rsid w:val="00BB1460"/>
    <w:rsid w:val="00BF4E9B"/>
    <w:rsid w:val="00C45BD6"/>
    <w:rsid w:val="00CE4DF7"/>
    <w:rsid w:val="00D04A4A"/>
    <w:rsid w:val="00D12268"/>
    <w:rsid w:val="00D37BA2"/>
    <w:rsid w:val="00D54641"/>
    <w:rsid w:val="00D679A6"/>
    <w:rsid w:val="00DA773B"/>
    <w:rsid w:val="00DB5F8D"/>
    <w:rsid w:val="00DE1F43"/>
    <w:rsid w:val="00DE71C1"/>
    <w:rsid w:val="00DF2CBE"/>
    <w:rsid w:val="00E07DC4"/>
    <w:rsid w:val="00EB0947"/>
    <w:rsid w:val="00EE1891"/>
    <w:rsid w:val="00EE55D1"/>
    <w:rsid w:val="00F601F9"/>
    <w:rsid w:val="00F73B8A"/>
    <w:rsid w:val="00FC1F36"/>
    <w:rsid w:val="00FC5144"/>
    <w:rsid w:val="00FD3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0D2FE"/>
  <w15:chartTrackingRefBased/>
  <w15:docId w15:val="{5AFE6163-2016-4C12-BA6D-A60A561E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53F"/>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8855E3"/>
    <w:rPr>
      <w:rFonts w:ascii="Calibri" w:hAnsi="Calibri" w:cs="Calibri"/>
      <w:lang w:eastAsia="en-GB"/>
    </w:rPr>
  </w:style>
  <w:style w:type="paragraph" w:styleId="NormalWeb">
    <w:name w:val="Normal (Web)"/>
    <w:basedOn w:val="Normal"/>
    <w:uiPriority w:val="99"/>
    <w:semiHidden/>
    <w:unhideWhenUsed/>
    <w:rsid w:val="000D3AA9"/>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3AA9"/>
    <w:pPr>
      <w:ind w:left="720"/>
      <w:contextualSpacing/>
    </w:pPr>
  </w:style>
  <w:style w:type="character" w:styleId="CommentReference">
    <w:name w:val="annotation reference"/>
    <w:basedOn w:val="DefaultParagraphFont"/>
    <w:uiPriority w:val="99"/>
    <w:semiHidden/>
    <w:unhideWhenUsed/>
    <w:rsid w:val="003C371A"/>
    <w:rPr>
      <w:sz w:val="16"/>
      <w:szCs w:val="16"/>
    </w:rPr>
  </w:style>
  <w:style w:type="paragraph" w:styleId="CommentText">
    <w:name w:val="annotation text"/>
    <w:basedOn w:val="Normal"/>
    <w:link w:val="CommentTextChar"/>
    <w:uiPriority w:val="99"/>
    <w:semiHidden/>
    <w:unhideWhenUsed/>
    <w:rsid w:val="003C371A"/>
    <w:rPr>
      <w:sz w:val="20"/>
      <w:szCs w:val="20"/>
    </w:rPr>
  </w:style>
  <w:style w:type="character" w:customStyle="1" w:styleId="CommentTextChar">
    <w:name w:val="Comment Text Char"/>
    <w:basedOn w:val="DefaultParagraphFont"/>
    <w:link w:val="CommentText"/>
    <w:uiPriority w:val="99"/>
    <w:semiHidden/>
    <w:rsid w:val="003C371A"/>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3C371A"/>
    <w:rPr>
      <w:b/>
      <w:bCs/>
    </w:rPr>
  </w:style>
  <w:style w:type="character" w:customStyle="1" w:styleId="CommentSubjectChar">
    <w:name w:val="Comment Subject Char"/>
    <w:basedOn w:val="CommentTextChar"/>
    <w:link w:val="CommentSubject"/>
    <w:uiPriority w:val="99"/>
    <w:semiHidden/>
    <w:rsid w:val="003C371A"/>
    <w:rPr>
      <w:rFonts w:ascii="Tahoma" w:hAnsi="Tahoma"/>
      <w:b/>
      <w:bCs/>
      <w:sz w:val="20"/>
      <w:szCs w:val="20"/>
    </w:rPr>
  </w:style>
  <w:style w:type="paragraph" w:styleId="BalloonText">
    <w:name w:val="Balloon Text"/>
    <w:basedOn w:val="Normal"/>
    <w:link w:val="BalloonTextChar"/>
    <w:uiPriority w:val="99"/>
    <w:semiHidden/>
    <w:unhideWhenUsed/>
    <w:rsid w:val="003C3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71A"/>
    <w:rPr>
      <w:rFonts w:ascii="Segoe UI" w:hAnsi="Segoe UI" w:cs="Segoe UI"/>
      <w:sz w:val="18"/>
      <w:szCs w:val="18"/>
    </w:rPr>
  </w:style>
  <w:style w:type="character" w:customStyle="1" w:styleId="legp1no">
    <w:name w:val="legp1no"/>
    <w:basedOn w:val="DefaultParagraphFont"/>
    <w:rsid w:val="00DB5F8D"/>
  </w:style>
  <w:style w:type="paragraph" w:styleId="Footer">
    <w:name w:val="footer"/>
    <w:basedOn w:val="Normal"/>
    <w:link w:val="FooterChar"/>
    <w:uiPriority w:val="99"/>
    <w:unhideWhenUsed/>
    <w:rsid w:val="00EB0947"/>
    <w:pPr>
      <w:tabs>
        <w:tab w:val="center" w:pos="4513"/>
        <w:tab w:val="right" w:pos="9026"/>
      </w:tabs>
    </w:pPr>
    <w:rPr>
      <w:rFonts w:eastAsia="Tahoma" w:cs="Times New Roman"/>
    </w:rPr>
  </w:style>
  <w:style w:type="character" w:customStyle="1" w:styleId="FooterChar">
    <w:name w:val="Footer Char"/>
    <w:basedOn w:val="DefaultParagraphFont"/>
    <w:link w:val="Footer"/>
    <w:uiPriority w:val="99"/>
    <w:rsid w:val="00EB0947"/>
    <w:rPr>
      <w:rFonts w:ascii="Tahoma" w:eastAsia="Tahoma" w:hAnsi="Tahoma" w:cs="Times New Roman"/>
    </w:rPr>
  </w:style>
  <w:style w:type="paragraph" w:styleId="Header">
    <w:name w:val="header"/>
    <w:basedOn w:val="Normal"/>
    <w:link w:val="HeaderChar"/>
    <w:uiPriority w:val="99"/>
    <w:unhideWhenUsed/>
    <w:rsid w:val="00321D02"/>
    <w:pPr>
      <w:tabs>
        <w:tab w:val="center" w:pos="4513"/>
        <w:tab w:val="right" w:pos="9026"/>
      </w:tabs>
    </w:pPr>
  </w:style>
  <w:style w:type="character" w:customStyle="1" w:styleId="HeaderChar">
    <w:name w:val="Header Char"/>
    <w:basedOn w:val="DefaultParagraphFont"/>
    <w:link w:val="Header"/>
    <w:uiPriority w:val="99"/>
    <w:rsid w:val="00321D02"/>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76580">
      <w:bodyDiv w:val="1"/>
      <w:marLeft w:val="0"/>
      <w:marRight w:val="0"/>
      <w:marTop w:val="0"/>
      <w:marBottom w:val="0"/>
      <w:divBdr>
        <w:top w:val="none" w:sz="0" w:space="0" w:color="auto"/>
        <w:left w:val="none" w:sz="0" w:space="0" w:color="auto"/>
        <w:bottom w:val="none" w:sz="0" w:space="0" w:color="auto"/>
        <w:right w:val="none" w:sz="0" w:space="0" w:color="auto"/>
      </w:divBdr>
    </w:div>
    <w:div w:id="446582011">
      <w:bodyDiv w:val="1"/>
      <w:marLeft w:val="0"/>
      <w:marRight w:val="0"/>
      <w:marTop w:val="0"/>
      <w:marBottom w:val="0"/>
      <w:divBdr>
        <w:top w:val="none" w:sz="0" w:space="0" w:color="auto"/>
        <w:left w:val="none" w:sz="0" w:space="0" w:color="auto"/>
        <w:bottom w:val="none" w:sz="0" w:space="0" w:color="auto"/>
        <w:right w:val="none" w:sz="0" w:space="0" w:color="auto"/>
      </w:divBdr>
    </w:div>
    <w:div w:id="725686867">
      <w:bodyDiv w:val="1"/>
      <w:marLeft w:val="0"/>
      <w:marRight w:val="0"/>
      <w:marTop w:val="0"/>
      <w:marBottom w:val="0"/>
      <w:divBdr>
        <w:top w:val="none" w:sz="0" w:space="0" w:color="auto"/>
        <w:left w:val="none" w:sz="0" w:space="0" w:color="auto"/>
        <w:bottom w:val="none" w:sz="0" w:space="0" w:color="auto"/>
        <w:right w:val="none" w:sz="0" w:space="0" w:color="auto"/>
      </w:divBdr>
    </w:div>
    <w:div w:id="1399326869">
      <w:bodyDiv w:val="1"/>
      <w:marLeft w:val="0"/>
      <w:marRight w:val="0"/>
      <w:marTop w:val="0"/>
      <w:marBottom w:val="0"/>
      <w:divBdr>
        <w:top w:val="none" w:sz="0" w:space="0" w:color="auto"/>
        <w:left w:val="none" w:sz="0" w:space="0" w:color="auto"/>
        <w:bottom w:val="none" w:sz="0" w:space="0" w:color="auto"/>
        <w:right w:val="none" w:sz="0" w:space="0" w:color="auto"/>
      </w:divBdr>
    </w:div>
    <w:div w:id="1406416593">
      <w:bodyDiv w:val="1"/>
      <w:marLeft w:val="0"/>
      <w:marRight w:val="0"/>
      <w:marTop w:val="0"/>
      <w:marBottom w:val="0"/>
      <w:divBdr>
        <w:top w:val="none" w:sz="0" w:space="0" w:color="auto"/>
        <w:left w:val="none" w:sz="0" w:space="0" w:color="auto"/>
        <w:bottom w:val="none" w:sz="0" w:space="0" w:color="auto"/>
        <w:right w:val="none" w:sz="0" w:space="0" w:color="auto"/>
      </w:divBdr>
    </w:div>
    <w:div w:id="1501770318">
      <w:bodyDiv w:val="1"/>
      <w:marLeft w:val="0"/>
      <w:marRight w:val="0"/>
      <w:marTop w:val="0"/>
      <w:marBottom w:val="0"/>
      <w:divBdr>
        <w:top w:val="none" w:sz="0" w:space="0" w:color="auto"/>
        <w:left w:val="none" w:sz="0" w:space="0" w:color="auto"/>
        <w:bottom w:val="none" w:sz="0" w:space="0" w:color="auto"/>
        <w:right w:val="none" w:sz="0" w:space="0" w:color="auto"/>
      </w:divBdr>
    </w:div>
    <w:div w:id="1764260040">
      <w:bodyDiv w:val="1"/>
      <w:marLeft w:val="0"/>
      <w:marRight w:val="0"/>
      <w:marTop w:val="0"/>
      <w:marBottom w:val="0"/>
      <w:divBdr>
        <w:top w:val="none" w:sz="0" w:space="0" w:color="auto"/>
        <w:left w:val="none" w:sz="0" w:space="0" w:color="auto"/>
        <w:bottom w:val="none" w:sz="0" w:space="0" w:color="auto"/>
        <w:right w:val="none" w:sz="0" w:space="0" w:color="auto"/>
      </w:divBdr>
    </w:div>
    <w:div w:id="20365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B3690A-8CE4-4B20-B3F2-B55F13CEE67A}">
  <ds:schemaRefs>
    <ds:schemaRef ds:uri="http://schemas.openxmlformats.org/officeDocument/2006/bibliography"/>
  </ds:schemaRefs>
</ds:datastoreItem>
</file>

<file path=customXml/itemProps2.xml><?xml version="1.0" encoding="utf-8"?>
<ds:datastoreItem xmlns:ds="http://schemas.openxmlformats.org/officeDocument/2006/customXml" ds:itemID="{BF6D6C87-2310-4B93-A30C-BAC64F36ACB7}"/>
</file>

<file path=customXml/itemProps3.xml><?xml version="1.0" encoding="utf-8"?>
<ds:datastoreItem xmlns:ds="http://schemas.openxmlformats.org/officeDocument/2006/customXml" ds:itemID="{842B747F-0E5E-41AF-969D-EE275D112C19}"/>
</file>

<file path=customXml/itemProps4.xml><?xml version="1.0" encoding="utf-8"?>
<ds:datastoreItem xmlns:ds="http://schemas.openxmlformats.org/officeDocument/2006/customXml" ds:itemID="{43F00430-98CC-4432-9293-88F0F5884C9E}"/>
</file>

<file path=docProps/app.xml><?xml version="1.0" encoding="utf-8"?>
<Properties xmlns="http://schemas.openxmlformats.org/officeDocument/2006/extended-properties" xmlns:vt="http://schemas.openxmlformats.org/officeDocument/2006/docPropsVTypes">
  <Template>Normal</Template>
  <TotalTime>1103</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Ashworth</dc:creator>
  <cp:keywords/>
  <dc:description/>
  <cp:lastModifiedBy>Sarah Millar</cp:lastModifiedBy>
  <cp:revision>3</cp:revision>
  <cp:lastPrinted>2020-08-25T13:42:00Z</cp:lastPrinted>
  <dcterms:created xsi:type="dcterms:W3CDTF">2021-03-16T16:32:00Z</dcterms:created>
  <dcterms:modified xsi:type="dcterms:W3CDTF">2021-03-17T14:20:00Z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Order">
    <vt:r8>789600</vt:r8>
  </property>
</Properties>
</file>