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65A6" w14:textId="77777777" w:rsidR="00F911CC" w:rsidRDefault="00F911CC" w:rsidP="00F911CC">
      <w:r w:rsidRPr="00F911CC">
        <w:rPr>
          <w:b/>
          <w:bCs/>
        </w:rPr>
        <w:t>Question 1:</w:t>
      </w:r>
      <w:r>
        <w:t xml:space="preserve"> If there was one thing you would like to see change in how our skills landscape is structured and delivering, what would it be?</w:t>
      </w:r>
    </w:p>
    <w:p w14:paraId="6E5CE26B" w14:textId="79EBD723" w:rsidR="00F911CC" w:rsidRDefault="00F911CC" w:rsidP="00F911CC">
      <w:r>
        <w:t xml:space="preserve">QMS welcomes the opportunity to respond to this inquiry. Our answers are taken from a paper produced in June 2022, </w:t>
      </w:r>
      <w:hyperlink r:id="rId10" w:history="1">
        <w:r w:rsidRPr="00F911CC">
          <w:rPr>
            <w:rStyle w:val="Hyperlink"/>
          </w:rPr>
          <w:t>Developing the Supply Chain through Increasing Skills and Education Opportunities</w:t>
        </w:r>
      </w:hyperlink>
      <w:r>
        <w:t xml:space="preserve">. </w:t>
      </w:r>
      <w:r w:rsidRPr="00F911CC">
        <w:t>The Scottish Red Meat Resilience Group commissioned this position paper, as strengthening the</w:t>
      </w:r>
      <w:r>
        <w:t xml:space="preserve"> red meat</w:t>
      </w:r>
      <w:r w:rsidRPr="00F911CC">
        <w:t xml:space="preserve"> supply chain through the enhancement of education and skills is a key concern for the sector.</w:t>
      </w:r>
      <w:r>
        <w:t xml:space="preserve"> </w:t>
      </w:r>
    </w:p>
    <w:p w14:paraId="2B875E2F" w14:textId="3F20F4D2" w:rsidR="00F911CC" w:rsidRDefault="00F911CC" w:rsidP="00F911CC">
      <w:r w:rsidRPr="00F911CC">
        <w:t xml:space="preserve">The Scottish Red Meat Resilience Group is an industry leadership body designed to provide a collaborative working mechanism for key membership organisations within the Scottish red meat sector. Membership consists of representation from NFU Scotland, the Scottish Association of Meat Wholesalers, Scottish Craft Butchers, the Institute of Auctioneer and Appraisers in Scotland, the Scottish Association of Young Farmers Clubs, the National Sheep Association Scotland, Scottish Beef </w:t>
      </w:r>
      <w:proofErr w:type="gramStart"/>
      <w:r w:rsidRPr="00F911CC">
        <w:t>Association</w:t>
      </w:r>
      <w:proofErr w:type="gramEnd"/>
      <w:r w:rsidRPr="00F911CC">
        <w:t xml:space="preserve"> and the Pig Industry Leadership Group. It is chaired by Quality Meat Scotland.</w:t>
      </w:r>
    </w:p>
    <w:p w14:paraId="6D161A6D" w14:textId="77777777" w:rsidR="005E43CC" w:rsidRDefault="005E43CC" w:rsidP="005E43CC">
      <w:pPr>
        <w:rPr>
          <w:rFonts w:ascii="Calibri" w:eastAsia="Calibri" w:hAnsi="Calibri" w:cs="Calibri"/>
          <w:color w:val="000000" w:themeColor="text1"/>
        </w:rPr>
      </w:pPr>
      <w:r w:rsidRPr="1DDE447B">
        <w:rPr>
          <w:rFonts w:ascii="Calibri" w:eastAsia="Calibri" w:hAnsi="Calibri" w:cs="Calibri"/>
          <w:color w:val="000000" w:themeColor="text1"/>
        </w:rPr>
        <w:t>The Scottish red meat supply chain generates over £2 billion annually to Scotland's economy. The supply, use and input-output tables produced by the Scottish Government highlight how valuable meat processing is to the Scottish economy, ranking it in the top 10 out of Scotland’s 98 industrial sectors. Currently, there are over 36,000 people working in the food and drink manufacturing sector in Scotland which accounts for 19% of the Scottish manufacturing workforce. Gross value added to the economy is £1.9bn which is 14.2% of Scottish manufacturing value added. Food and drink manufacturing is Scotland's largest manufacturing sector, made up of almost 900 businesses. Over the last ten years, food exports from Scotland have increased by more than 50% to £815 million. Food and drink manufacturing accounts for around 45% of Scotland's full supply chain turnover and the number of people it employs</w:t>
      </w:r>
      <w:r w:rsidRPr="1DDE447B">
        <w:rPr>
          <w:rStyle w:val="FootnoteReference"/>
          <w:rFonts w:ascii="Calibri" w:eastAsia="Calibri" w:hAnsi="Calibri" w:cs="Calibri"/>
          <w:color w:val="000000" w:themeColor="text1"/>
        </w:rPr>
        <w:footnoteReference w:id="1"/>
      </w:r>
      <w:r w:rsidRPr="1DDE447B">
        <w:rPr>
          <w:rFonts w:ascii="Calibri" w:eastAsia="Calibri" w:hAnsi="Calibri" w:cs="Calibri"/>
          <w:color w:val="000000" w:themeColor="text1"/>
        </w:rPr>
        <w:t xml:space="preserve"> .</w:t>
      </w:r>
    </w:p>
    <w:p w14:paraId="20942FCE" w14:textId="419C05A3" w:rsidR="005E43CC" w:rsidRDefault="005E43CC" w:rsidP="005E43CC">
      <w:pPr>
        <w:rPr>
          <w:rFonts w:ascii="Calibri" w:eastAsia="Calibri" w:hAnsi="Calibri" w:cs="Calibri"/>
          <w:color w:val="000000" w:themeColor="text1"/>
        </w:rPr>
      </w:pPr>
      <w:r w:rsidRPr="1DDE447B">
        <w:rPr>
          <w:rFonts w:ascii="Calibri" w:eastAsia="Calibri" w:hAnsi="Calibri" w:cs="Calibri"/>
          <w:color w:val="000000" w:themeColor="text1"/>
        </w:rPr>
        <w:t>The red meat sector in Scotland currently supports around 50,000 jobs. However, the combination of an ageing workforce, the UK’s departure from the EU, the Covid pandemic, and the misconception that agriculture is low tech, low skilled, low paid and slow moving, means that the entire supply chain, from farm to the food service sector, is experiencing a critical shortage of skilled labour. Food and Drink Federation Scotland estimated that food manufacturing alone will need 19,000 new recruits by 2024 to meet skills needs.</w:t>
      </w:r>
      <w:r w:rsidRPr="005E43CC">
        <w:rPr>
          <w:rStyle w:val="eop"/>
          <w:rFonts w:ascii="Calibri" w:hAnsi="Calibri" w:cs="Calibri"/>
          <w:color w:val="000000" w:themeColor="text1"/>
        </w:rPr>
        <w:t xml:space="preserve"> </w:t>
      </w:r>
      <w:r w:rsidRPr="22696794">
        <w:rPr>
          <w:rStyle w:val="eop"/>
          <w:rFonts w:ascii="Calibri" w:hAnsi="Calibri" w:cs="Calibri"/>
          <w:color w:val="000000" w:themeColor="text1"/>
        </w:rPr>
        <w:t>The decline in new entrants to the sector is a challenge which needs to be immediately addressed.</w:t>
      </w:r>
    </w:p>
    <w:p w14:paraId="734788DA" w14:textId="6FFAB964" w:rsidR="005E43CC" w:rsidRDefault="005E43CC" w:rsidP="005E43CC">
      <w:pPr>
        <w:rPr>
          <w:rStyle w:val="eop"/>
          <w:rFonts w:ascii="Calibri" w:hAnsi="Calibri" w:cs="Calibri"/>
          <w:color w:val="000000" w:themeColor="text1"/>
        </w:rPr>
      </w:pPr>
      <w:r w:rsidRPr="76185E65">
        <w:rPr>
          <w:rFonts w:ascii="Calibri" w:eastAsia="Calibri" w:hAnsi="Calibri" w:cs="Calibri"/>
          <w:color w:val="000000" w:themeColor="text1"/>
        </w:rPr>
        <w:t>To address these issues and to prosper through to 2030 and beyond, the sector needs to attract people with progressive mindsets and ensure that structured skills progression is available throughout the supply chain.</w:t>
      </w:r>
    </w:p>
    <w:p w14:paraId="15038794" w14:textId="6DEB8506" w:rsidR="00F911CC" w:rsidRDefault="00F911CC" w:rsidP="00F911CC">
      <w:pPr>
        <w:rPr>
          <w:rStyle w:val="eop"/>
          <w:rFonts w:ascii="Calibri" w:hAnsi="Calibri" w:cs="Calibri"/>
          <w:color w:val="000000" w:themeColor="text1"/>
        </w:rPr>
      </w:pPr>
      <w:r w:rsidRPr="76185E65">
        <w:rPr>
          <w:rStyle w:val="eop"/>
          <w:rFonts w:ascii="Calibri" w:hAnsi="Calibri" w:cs="Calibri"/>
          <w:color w:val="000000" w:themeColor="text1"/>
        </w:rPr>
        <w:t>There are currently several ways to enter the red meat industry in Scotland, whether you are a ‘grass roots’ school leaver, or a ‘career changer’. There is also a variety of support available to facilitate this. However, the routes of entry and support available are not always clear, and more needs to be done to raise awareness of the opportunities available, as well as establishing a joined-up approach from educators.</w:t>
      </w:r>
    </w:p>
    <w:p w14:paraId="0F18C1F7" w14:textId="77777777" w:rsidR="00F911CC" w:rsidRDefault="00F911CC" w:rsidP="00F911CC">
      <w:pPr>
        <w:rPr>
          <w:rFonts w:ascii="Calibri" w:eastAsia="Calibri" w:hAnsi="Calibri" w:cs="Calibri"/>
          <w:color w:val="000000" w:themeColor="text1"/>
        </w:rPr>
      </w:pPr>
      <w:r w:rsidRPr="1DDE447B">
        <w:rPr>
          <w:rFonts w:ascii="Calibri" w:eastAsia="Calibri" w:hAnsi="Calibri" w:cs="Calibri"/>
          <w:color w:val="000000" w:themeColor="text1"/>
        </w:rPr>
        <w:t xml:space="preserve">Focusing on innovation and automation as well as developing clear career paths by which people can progress and develop, will help to create a vibrant and progressive sector that people will want to join. It is essential to adopt research, </w:t>
      </w:r>
      <w:proofErr w:type="gramStart"/>
      <w:r w:rsidRPr="1DDE447B">
        <w:rPr>
          <w:rFonts w:ascii="Calibri" w:eastAsia="Calibri" w:hAnsi="Calibri" w:cs="Calibri"/>
          <w:color w:val="000000" w:themeColor="text1"/>
        </w:rPr>
        <w:t>technology</w:t>
      </w:r>
      <w:proofErr w:type="gramEnd"/>
      <w:r w:rsidRPr="1DDE447B">
        <w:rPr>
          <w:rFonts w:ascii="Calibri" w:eastAsia="Calibri" w:hAnsi="Calibri" w:cs="Calibri"/>
          <w:color w:val="000000" w:themeColor="text1"/>
        </w:rPr>
        <w:t xml:space="preserve"> and innovation so that farmers, crofters and </w:t>
      </w:r>
      <w:r w:rsidRPr="1DDE447B">
        <w:rPr>
          <w:rFonts w:ascii="Calibri" w:eastAsia="Calibri" w:hAnsi="Calibri" w:cs="Calibri"/>
          <w:color w:val="000000" w:themeColor="text1"/>
        </w:rPr>
        <w:lastRenderedPageBreak/>
        <w:t>producers have the confidence and skills to maximise the efficiency and productivity of their holdings and to encourage and develop their workforce.</w:t>
      </w:r>
    </w:p>
    <w:p w14:paraId="43D5CE10" w14:textId="4D4DF30A" w:rsidR="00F911CC" w:rsidRDefault="00F911CC" w:rsidP="00F911CC">
      <w:pPr>
        <w:rPr>
          <w:rFonts w:ascii="Calibri" w:eastAsia="Calibri" w:hAnsi="Calibri" w:cs="Calibri"/>
          <w:color w:val="000000" w:themeColor="text1"/>
        </w:rPr>
      </w:pPr>
      <w:r w:rsidRPr="1DDE447B">
        <w:rPr>
          <w:rFonts w:ascii="Calibri" w:eastAsia="Calibri" w:hAnsi="Calibri" w:cs="Calibri"/>
          <w:color w:val="000000" w:themeColor="text1"/>
        </w:rPr>
        <w:t xml:space="preserve">The job landscape itself is changing. The urgent need to address the impact of climate change and the ways in which we work has led to the introduction and promotion of ‘green </w:t>
      </w:r>
      <w:proofErr w:type="gramStart"/>
      <w:r w:rsidRPr="1DDE447B">
        <w:rPr>
          <w:rFonts w:ascii="Calibri" w:eastAsia="Calibri" w:hAnsi="Calibri" w:cs="Calibri"/>
          <w:color w:val="000000" w:themeColor="text1"/>
        </w:rPr>
        <w:t>skills’</w:t>
      </w:r>
      <w:proofErr w:type="gramEnd"/>
      <w:r w:rsidRPr="1DDE447B">
        <w:rPr>
          <w:rFonts w:ascii="Calibri" w:eastAsia="Calibri" w:hAnsi="Calibri" w:cs="Calibri"/>
          <w:color w:val="000000" w:themeColor="text1"/>
        </w:rPr>
        <w:t>. The Climate Emergency Skills Action Plan (CESAP) outlined by Skills Development Scotland (SDS) identifies immediate actions to support the development of the skills needed to meet the climate change challenge, particularly in relation to sectors identified as key to the transition to net zero - one of which is agriculture and land use management. CESAP identifies the need for “a significant realignment of our investment in education, training and work-based learning towards green jobs”, stating that “an adaptive skills system is vital to maintaining the productive performance of economies”</w:t>
      </w:r>
      <w:r w:rsidRPr="1DDE447B">
        <w:rPr>
          <w:rStyle w:val="FootnoteReference"/>
          <w:rFonts w:ascii="Calibri" w:eastAsia="Calibri" w:hAnsi="Calibri" w:cs="Calibri"/>
          <w:color w:val="000000" w:themeColor="text1"/>
        </w:rPr>
        <w:footnoteReference w:id="2"/>
      </w:r>
      <w:r w:rsidRPr="1DDE447B">
        <w:rPr>
          <w:rFonts w:ascii="Calibri" w:eastAsia="Calibri" w:hAnsi="Calibri" w:cs="Calibri"/>
          <w:color w:val="000000" w:themeColor="text1"/>
        </w:rPr>
        <w:t>.</w:t>
      </w:r>
    </w:p>
    <w:p w14:paraId="4271AD6F" w14:textId="543FB0A1" w:rsidR="008259E0" w:rsidRPr="008259E0" w:rsidRDefault="008259E0" w:rsidP="008259E0">
      <w:pPr>
        <w:rPr>
          <w:rFonts w:ascii="Calibri" w:eastAsia="Calibri" w:hAnsi="Calibri" w:cs="Calibri"/>
          <w:color w:val="000000" w:themeColor="text1"/>
        </w:rPr>
      </w:pPr>
      <w:r>
        <w:rPr>
          <w:rFonts w:ascii="Calibri" w:eastAsia="Calibri" w:hAnsi="Calibri" w:cs="Calibri"/>
          <w:color w:val="000000" w:themeColor="text1"/>
        </w:rPr>
        <w:t>Finally, d</w:t>
      </w:r>
      <w:r w:rsidRPr="008259E0">
        <w:rPr>
          <w:rFonts w:ascii="Calibri" w:eastAsia="Calibri" w:hAnsi="Calibri" w:cs="Calibri"/>
          <w:color w:val="000000" w:themeColor="text1"/>
        </w:rPr>
        <w:t xml:space="preserve">emographic challenges in rural areas </w:t>
      </w:r>
      <w:r>
        <w:rPr>
          <w:rFonts w:ascii="Calibri" w:eastAsia="Calibri" w:hAnsi="Calibri" w:cs="Calibri"/>
          <w:color w:val="000000" w:themeColor="text1"/>
        </w:rPr>
        <w:t>have a direct</w:t>
      </w:r>
      <w:r w:rsidRPr="008259E0">
        <w:rPr>
          <w:rFonts w:ascii="Calibri" w:eastAsia="Calibri" w:hAnsi="Calibri" w:cs="Calibri"/>
          <w:color w:val="000000" w:themeColor="text1"/>
        </w:rPr>
        <w:t xml:space="preserve"> impact on skills</w:t>
      </w:r>
      <w:r>
        <w:rPr>
          <w:rFonts w:ascii="Calibri" w:eastAsia="Calibri" w:hAnsi="Calibri" w:cs="Calibri"/>
          <w:color w:val="000000" w:themeColor="text1"/>
        </w:rPr>
        <w:t xml:space="preserve">. </w:t>
      </w:r>
      <w:r w:rsidRPr="008259E0">
        <w:rPr>
          <w:rFonts w:ascii="Calibri" w:eastAsia="Calibri" w:hAnsi="Calibri" w:cs="Calibri"/>
          <w:color w:val="000000" w:themeColor="text1"/>
        </w:rPr>
        <w:t>The Skills Action Plan for Rural Scotland 2019-2021 produced by SDS identified the following issues</w:t>
      </w:r>
      <w:r>
        <w:rPr>
          <w:rFonts w:ascii="Calibri" w:eastAsia="Calibri" w:hAnsi="Calibri" w:cs="Calibri"/>
          <w:color w:val="000000" w:themeColor="text1"/>
        </w:rPr>
        <w:t xml:space="preserve">: </w:t>
      </w:r>
      <w:r w:rsidRPr="008259E0">
        <w:rPr>
          <w:rFonts w:ascii="Calibri" w:eastAsia="Calibri" w:hAnsi="Calibri" w:cs="Calibri"/>
          <w:color w:val="000000" w:themeColor="text1"/>
        </w:rPr>
        <w:t>A significant challenge is posed by the out-migration of young people, which impacts on overall population size, community sustainability and economic growth</w:t>
      </w:r>
      <w:r>
        <w:rPr>
          <w:rFonts w:ascii="Calibri" w:eastAsia="Calibri" w:hAnsi="Calibri" w:cs="Calibri"/>
          <w:color w:val="000000" w:themeColor="text1"/>
        </w:rPr>
        <w:t xml:space="preserve">; </w:t>
      </w:r>
      <w:r w:rsidRPr="008259E0">
        <w:rPr>
          <w:rFonts w:ascii="Calibri" w:eastAsia="Calibri" w:hAnsi="Calibri" w:cs="Calibri"/>
          <w:color w:val="000000" w:themeColor="text1"/>
        </w:rPr>
        <w:t>The occupational make-up of Scotland’s rural areas differs from the rest of Scotland, with lower levels of managerial, professional and associate professionals and higher levels of skilled trades</w:t>
      </w:r>
      <w:r>
        <w:rPr>
          <w:rFonts w:ascii="Calibri" w:eastAsia="Calibri" w:hAnsi="Calibri" w:cs="Calibri"/>
          <w:color w:val="000000" w:themeColor="text1"/>
        </w:rPr>
        <w:t>.</w:t>
      </w:r>
    </w:p>
    <w:p w14:paraId="2555369A" w14:textId="7F417794" w:rsidR="00F911CC" w:rsidRDefault="00F911CC" w:rsidP="00F911CC">
      <w:r>
        <w:t xml:space="preserve">Therefore, </w:t>
      </w:r>
      <w:r w:rsidR="008259E0">
        <w:t xml:space="preserve">taking all these points into consideration, </w:t>
      </w:r>
      <w:r>
        <w:t>the key elements that we need to see are:</w:t>
      </w:r>
    </w:p>
    <w:p w14:paraId="298EF926" w14:textId="2CC5B4F1" w:rsidR="00F911CC" w:rsidRDefault="00F911CC" w:rsidP="00F911CC">
      <w:pPr>
        <w:pStyle w:val="ListParagraph"/>
        <w:numPr>
          <w:ilvl w:val="0"/>
          <w:numId w:val="1"/>
        </w:numPr>
      </w:pPr>
      <w:r>
        <w:t>A skills landscape for the red meat sector which is focused on the future and incorporates innovation, technology and green skills</w:t>
      </w:r>
      <w:r w:rsidR="007B63E7">
        <w:t>. One that is adaptive and progressive.</w:t>
      </w:r>
    </w:p>
    <w:p w14:paraId="5533FE6B" w14:textId="3AC74169" w:rsidR="007B63E7" w:rsidRDefault="007B63E7" w:rsidP="00F911CC">
      <w:pPr>
        <w:pStyle w:val="ListParagraph"/>
        <w:numPr>
          <w:ilvl w:val="0"/>
          <w:numId w:val="1"/>
        </w:numPr>
      </w:pPr>
      <w:r>
        <w:t>Clear career pathways and a joined-up approach from skills providers</w:t>
      </w:r>
    </w:p>
    <w:p w14:paraId="5C2FA2D0" w14:textId="09252AE5" w:rsidR="00F911CC" w:rsidRDefault="00F911CC" w:rsidP="00F911CC">
      <w:pPr>
        <w:pStyle w:val="ListParagraph"/>
        <w:numPr>
          <w:ilvl w:val="0"/>
          <w:numId w:val="1"/>
        </w:numPr>
      </w:pPr>
      <w:r>
        <w:t>An infrastructure</w:t>
      </w:r>
      <w:r w:rsidR="007B63E7">
        <w:t xml:space="preserve"> for delivery</w:t>
      </w:r>
      <w:r>
        <w:t xml:space="preserve"> that </w:t>
      </w:r>
      <w:r w:rsidR="007B63E7">
        <w:t xml:space="preserve">is designed around rural communities, not encouraging an exodus to cities </w:t>
      </w:r>
    </w:p>
    <w:p w14:paraId="7B944A48" w14:textId="77777777" w:rsidR="00F911CC" w:rsidRDefault="00F911CC" w:rsidP="00F911CC"/>
    <w:p w14:paraId="21476ED8" w14:textId="71EB4D2F" w:rsidR="00F911CC" w:rsidRDefault="00F911CC" w:rsidP="00F911CC">
      <w:r w:rsidRPr="00F911CC">
        <w:rPr>
          <w:b/>
          <w:bCs/>
        </w:rPr>
        <w:t>Question 2:</w:t>
      </w:r>
      <w:r>
        <w:t xml:space="preserve"> Thinking about the vision in the Terms of Reference for a system that is simple, people-focused and built on collaboration, how well are we doing against that vision just now? Can you provide specific examples of:</w:t>
      </w:r>
    </w:p>
    <w:p w14:paraId="1A6D3713" w14:textId="6AEE925F" w:rsidR="00F911CC" w:rsidRDefault="00F911CC" w:rsidP="007B63E7">
      <w:pPr>
        <w:pStyle w:val="ListParagraph"/>
        <w:numPr>
          <w:ilvl w:val="0"/>
          <w:numId w:val="3"/>
        </w:numPr>
      </w:pPr>
      <w:r>
        <w:t>success in the work of public agencies or the private/third sector; or</w:t>
      </w:r>
    </w:p>
    <w:p w14:paraId="2793C4B8" w14:textId="6B312DA5" w:rsidR="007B63E7" w:rsidRDefault="00B87489" w:rsidP="007B63E7">
      <w:r w:rsidRPr="00B87489">
        <w:t>A good example of cross-sector work is Growing Rural Talent (GRT)</w:t>
      </w:r>
      <w:r>
        <w:t xml:space="preserve"> </w:t>
      </w:r>
      <w:r w:rsidRPr="00B87489">
        <w:t xml:space="preserve">– Pathway into Agriculture &amp; Forestry which focuses on the land-based sector in the south of Scotland. GRT is a collaborative project between Dumfries and Galloway Council, SRUC Barony, Borders College, Tarff Valley Services, National Farmers Union, </w:t>
      </w:r>
      <w:proofErr w:type="spellStart"/>
      <w:r w:rsidRPr="00B87489">
        <w:t>Lantra</w:t>
      </w:r>
      <w:proofErr w:type="spellEnd"/>
      <w:r w:rsidRPr="00B87489">
        <w:t xml:space="preserve">, </w:t>
      </w:r>
      <w:proofErr w:type="spellStart"/>
      <w:r w:rsidRPr="00B87489">
        <w:t>Confor</w:t>
      </w:r>
      <w:proofErr w:type="spellEnd"/>
      <w:r w:rsidRPr="00B87489">
        <w:t xml:space="preserve">, Skills Development Scotland, Developing the Young Workforce and South of Scotland Enterprise.  </w:t>
      </w:r>
    </w:p>
    <w:p w14:paraId="50F2325E" w14:textId="16994884" w:rsidR="00B87489" w:rsidRDefault="00B87489" w:rsidP="007B63E7">
      <w:r>
        <w:t xml:space="preserve">They have identified </w:t>
      </w:r>
      <w:r w:rsidRPr="00B87489">
        <w:t>three major foundations essential to resolve the major challenge of attracting, motivating, and retaining new talent to the sector; proactive farmers as employers and mentors, education and training providers delivering the appropriate courses and delivery methods and a major promotion in schools to demonstrate the value of food production as a career worthy of their potential.</w:t>
      </w:r>
    </w:p>
    <w:p w14:paraId="117FAE26" w14:textId="5C6481FC" w:rsidR="00B87489" w:rsidRDefault="00B87489" w:rsidP="007B63E7">
      <w:r w:rsidRPr="00B87489">
        <w:lastRenderedPageBreak/>
        <w:t>The Growing Rural Talent (GRT) Pathway into Agriculture is a pilot which aspires to cover all these. The seeds were sown by a desire to increase the uptake of Modern Apprentices (MA) in the Dairy sector, which is, and remains very concerned about the future recruitment of skilled staff.</w:t>
      </w:r>
    </w:p>
    <w:p w14:paraId="6AE693BD" w14:textId="77777777" w:rsidR="00F911CC" w:rsidRDefault="00F911CC" w:rsidP="00F911CC">
      <w:r>
        <w:t>b) elements that don’t work, are confusing or need to be improved?</w:t>
      </w:r>
    </w:p>
    <w:p w14:paraId="56FC85F3" w14:textId="0374085C" w:rsidR="007B63E7" w:rsidRDefault="007B63E7" w:rsidP="007B63E7">
      <w:r>
        <w:t>The Skills Action Plan for Rural Scotland 2019-2021 produced by Skills Development Scotland identified the following issues with a direct impact on skills in the sector:</w:t>
      </w:r>
    </w:p>
    <w:p w14:paraId="30ABB171" w14:textId="381A6EFD" w:rsidR="007B63E7" w:rsidRDefault="007B63E7" w:rsidP="007B63E7">
      <w:pPr>
        <w:pStyle w:val="ListParagraph"/>
        <w:numPr>
          <w:ilvl w:val="0"/>
          <w:numId w:val="2"/>
        </w:numPr>
      </w:pPr>
      <w:r>
        <w:t>There is a persistence in outdated perceptions of the types of work and occupations which are available in rural areas. There is a need for greater awareness of the diverse economy and range of high-quality employment opportunities on offer in rural areas.</w:t>
      </w:r>
    </w:p>
    <w:p w14:paraId="45C30C26" w14:textId="25552583" w:rsidR="007B63E7" w:rsidRDefault="007B63E7" w:rsidP="007B63E7">
      <w:pPr>
        <w:pStyle w:val="ListParagraph"/>
        <w:numPr>
          <w:ilvl w:val="0"/>
          <w:numId w:val="2"/>
        </w:numPr>
      </w:pPr>
      <w:r>
        <w:t>Approximately 20% of students study at higher education level in rural areas. There has been a slight decrease in overall provision in rural based colleges over the last three years, and a 7% decrease in enrolments in ‘rural subjects’ since 2013/14. However, leavers from rural based colleges are more likely to move straight into work compared with the national average.</w:t>
      </w:r>
    </w:p>
    <w:p w14:paraId="66B5EE4F" w14:textId="0E5A1504" w:rsidR="007B63E7" w:rsidRDefault="007B63E7" w:rsidP="007B63E7">
      <w:pPr>
        <w:pStyle w:val="ListParagraph"/>
        <w:numPr>
          <w:ilvl w:val="0"/>
          <w:numId w:val="2"/>
        </w:numPr>
      </w:pPr>
      <w:r>
        <w:t>There are a relatively small number of higher education institutes (HEIs) located in rural areas, with six of the 19 HEIs in Scotland having a presence in rural areas. However, there has been an increasing uptake of ‘rural’ subjects – between 2012/13 and 2016/17, the total number of entrants studying rural subjects at HEIs in Scotland increased by 36%.</w:t>
      </w:r>
    </w:p>
    <w:p w14:paraId="28FDBBEF" w14:textId="77777777" w:rsidR="007B63E7" w:rsidRDefault="007B63E7" w:rsidP="007B63E7">
      <w:r>
        <w:t>Many schools are increasing their opportunities for young people to develop relevant skills and knowledge in land-based subjects through work placements during their senior phase at school. This work is supported by Developing the Young Workforce and Skills Development Scotland Coordinators who are in all secondary schools in Scotland. Skills for Work courses offer pathways into further education, training and employment and include subjects such as Rural Skills .</w:t>
      </w:r>
    </w:p>
    <w:p w14:paraId="57C2198F" w14:textId="291F8E33" w:rsidR="007B63E7" w:rsidRDefault="007B63E7" w:rsidP="007B63E7">
      <w:r>
        <w:t xml:space="preserve">It seems paradoxical that schools are increasing their focus on developing their students in these subject areas whilst colleges strip back their provision of the same subjects – soon there will be a dead-end for school-leavers who wish to pursue these subjects further. </w:t>
      </w:r>
    </w:p>
    <w:p w14:paraId="6C844B1A" w14:textId="3A9F1438" w:rsidR="007B63E7" w:rsidRDefault="007B63E7" w:rsidP="007B63E7">
      <w:r>
        <w:t>As such, there appears to be a disconnect between schools, higher education and industry when it comes to providing clear professional routes in the land-based industries. There is an urgent need for consultation and collaboration between industry and colleges to raise sector attractiveness and in turn interest in land-based courses.</w:t>
      </w:r>
    </w:p>
    <w:p w14:paraId="2ABEB093" w14:textId="3686D4E9" w:rsidR="00F911CC" w:rsidRDefault="007B63E7" w:rsidP="007B63E7">
      <w:r>
        <w:t xml:space="preserve">There is a critical </w:t>
      </w:r>
      <w:proofErr w:type="gramStart"/>
      <w:r>
        <w:t>need  for</w:t>
      </w:r>
      <w:proofErr w:type="gramEnd"/>
      <w:r>
        <w:t xml:space="preserve"> the provision of land-based courses at college level, whilst raising the awareness of the industry and its variety of roles and reviewing the content of land-based courses.</w:t>
      </w:r>
    </w:p>
    <w:p w14:paraId="6DA2AF88" w14:textId="77777777" w:rsidR="007B63E7" w:rsidRDefault="007B63E7" w:rsidP="007B63E7"/>
    <w:p w14:paraId="7088B511" w14:textId="77777777" w:rsidR="00F911CC" w:rsidRPr="005E43CC" w:rsidRDefault="00F911CC" w:rsidP="00F911CC">
      <w:pPr>
        <w:rPr>
          <w:i/>
          <w:iCs/>
        </w:rPr>
      </w:pPr>
      <w:r w:rsidRPr="005E43CC">
        <w:rPr>
          <w:b/>
          <w:bCs/>
          <w:i/>
          <w:iCs/>
        </w:rPr>
        <w:t>Question 3:</w:t>
      </w:r>
      <w:r w:rsidRPr="005E43CC">
        <w:rPr>
          <w:i/>
          <w:iCs/>
        </w:rPr>
        <w:t xml:space="preserve"> Thinking about the descriptions above of the different national agencies and partners involved in skills delivery, are there areas where more clarity is required about roles and responsibilities or where you think the balance of responsibilities should be changed?</w:t>
      </w:r>
    </w:p>
    <w:p w14:paraId="479739D2" w14:textId="44092507" w:rsidR="00F911CC" w:rsidRDefault="00B87489" w:rsidP="00F911CC">
      <w:r>
        <w:t xml:space="preserve">It can be a complex landscape to navigate and to understand which body or subsidiary is the appropriate one for a given enquiry or </w:t>
      </w:r>
      <w:r w:rsidR="00A93AB9">
        <w:t>initiative</w:t>
      </w:r>
      <w:r>
        <w:t xml:space="preserve">. It can also be unclear as to what the </w:t>
      </w:r>
      <w:r w:rsidR="00A93AB9">
        <w:t xml:space="preserve">individual bodies are trying to achieve, such as South of Scotland for example, with an impression of scattered focuses and indecisiveness with funding. </w:t>
      </w:r>
    </w:p>
    <w:p w14:paraId="0F9215D1" w14:textId="77777777" w:rsidR="00F911CC" w:rsidRPr="005E43CC" w:rsidRDefault="00F911CC" w:rsidP="00F911CC">
      <w:pPr>
        <w:rPr>
          <w:i/>
          <w:iCs/>
        </w:rPr>
      </w:pPr>
      <w:r w:rsidRPr="005E43CC">
        <w:rPr>
          <w:b/>
          <w:bCs/>
          <w:i/>
          <w:iCs/>
        </w:rPr>
        <w:t>Question 4:</w:t>
      </w:r>
      <w:r w:rsidRPr="005E43CC">
        <w:rPr>
          <w:i/>
          <w:iCs/>
        </w:rPr>
        <w:t xml:space="preserve"> Thinking about how our economy and society is changing and the Scottish Government’s ambitions for a skilled workforce as set out in NSET, do you have any evidence on where the current </w:t>
      </w:r>
      <w:r w:rsidRPr="005E43CC">
        <w:rPr>
          <w:i/>
          <w:iCs/>
        </w:rPr>
        <w:lastRenderedPageBreak/>
        <w:t>skills and education landscape needs to adapt or change and how it could be improved? Please provide evidence to support your answer.</w:t>
      </w:r>
    </w:p>
    <w:p w14:paraId="1612812C" w14:textId="77777777" w:rsidR="00A93AB9" w:rsidRDefault="00A93AB9" w:rsidP="00A93AB9">
      <w:r>
        <w:t xml:space="preserve">As part of the Scottish Government’s commitment to reach net zero by 2045, SDS has developed the Green Jobs Workforce Academy hosted on the My World of Work website. The aim is to highlight and attract young people to the roles which will be needed </w:t>
      </w:r>
      <w:proofErr w:type="gramStart"/>
      <w:r>
        <w:t>in order to</w:t>
      </w:r>
      <w:proofErr w:type="gramEnd"/>
      <w:r>
        <w:t xml:space="preserve"> achieve this target, including those within agriculture. The website states that:</w:t>
      </w:r>
    </w:p>
    <w:p w14:paraId="5EF23D4A" w14:textId="77777777" w:rsidR="00A93AB9" w:rsidRDefault="00A93AB9" w:rsidP="00A93AB9">
      <w:r>
        <w:t>“The agriculture and land use industry will grow in response to net zero, meaning there will be new roles to fill. An ageing workforce means that the industry is seeking fresh talent. Companies are actively recruiting the next generation of green workers... Agriculture, forestry and fishing will need around 8,600 new workers over the next three years. It’s also expected that by 2031 there’ll be around 18,200 new job opportunities in food and drink</w:t>
      </w:r>
      <w:proofErr w:type="gramStart"/>
      <w:r>
        <w:t>” .</w:t>
      </w:r>
      <w:proofErr w:type="gramEnd"/>
      <w:r>
        <w:t xml:space="preserve"> </w:t>
      </w:r>
    </w:p>
    <w:p w14:paraId="725BB54F" w14:textId="70850120" w:rsidR="00F911CC" w:rsidRDefault="00A93AB9" w:rsidP="00A93AB9">
      <w:r>
        <w:t xml:space="preserve">These new jobs are not going to fill themselves. It is essential that the value of </w:t>
      </w:r>
      <w:r w:rsidR="005E43CC">
        <w:t>high-quality</w:t>
      </w:r>
      <w:r>
        <w:t xml:space="preserve"> food production is emphasised at school and the red meat industry is promoted as a positive career destination by Developing the Young Workforce (DYW) school coordinators, </w:t>
      </w:r>
      <w:proofErr w:type="gramStart"/>
      <w:r>
        <w:t>teachers</w:t>
      </w:r>
      <w:proofErr w:type="gramEnd"/>
      <w:r>
        <w:t xml:space="preserve"> and Skills Development Scotland (SDS) coordinators in schools. We need to develop strong links between the red meat sector and schools, to promote the sector as a viable career path.</w:t>
      </w:r>
    </w:p>
    <w:p w14:paraId="2DC91583" w14:textId="70416132" w:rsidR="00A93AB9" w:rsidRDefault="00A93AB9" w:rsidP="00A93AB9">
      <w:r>
        <w:t xml:space="preserve">As </w:t>
      </w:r>
      <w:r w:rsidR="005E43CC">
        <w:t>outlined in a previous answer</w:t>
      </w:r>
      <w:r>
        <w:t>, w</w:t>
      </w:r>
      <w:r w:rsidRPr="00A93AB9">
        <w:t xml:space="preserve">e acknowledge that there is a need to assess and potentially overhaul the type of land-based courses that are provided at college level </w:t>
      </w:r>
      <w:proofErr w:type="gramStart"/>
      <w:r w:rsidRPr="00A93AB9">
        <w:t>in order to</w:t>
      </w:r>
      <w:proofErr w:type="gramEnd"/>
      <w:r w:rsidRPr="00A93AB9">
        <w:t xml:space="preserve"> adapt to the changing job landscape. </w:t>
      </w:r>
      <w:r>
        <w:t xml:space="preserve">It is </w:t>
      </w:r>
      <w:proofErr w:type="gramStart"/>
      <w:r>
        <w:t>worth  reiterating</w:t>
      </w:r>
      <w:proofErr w:type="gramEnd"/>
      <w:r>
        <w:t xml:space="preserve"> that t</w:t>
      </w:r>
      <w:r w:rsidRPr="00A93AB9">
        <w:t>he Climate Emergency Skills Action Plan (CESAP) outlined by Skills Development Scotland identifies immediate actions to support the development of the skills needed to meet the climate change challenge, particularly in relation to sectors identified as key to the transition to net zero - one of which is agriculture and land use management. CESAP identifies the need for “a significant realignment of our investment in education, training and work-based learning towards green jobs”, stating that “an adaptive skills system is vital to maintaining the productive performance of economies”.</w:t>
      </w:r>
    </w:p>
    <w:p w14:paraId="34CA4085" w14:textId="77777777" w:rsidR="005E43CC" w:rsidRDefault="005E43CC" w:rsidP="005E43CC">
      <w:pPr>
        <w:spacing w:line="257" w:lineRule="auto"/>
        <w:rPr>
          <w:rFonts w:ascii="Calibri" w:eastAsia="Calibri" w:hAnsi="Calibri" w:cs="Calibri"/>
          <w:color w:val="000000" w:themeColor="text1"/>
        </w:rPr>
      </w:pPr>
      <w:r w:rsidRPr="61904188">
        <w:rPr>
          <w:rFonts w:ascii="Calibri" w:eastAsia="Calibri" w:hAnsi="Calibri" w:cs="Calibri"/>
          <w:color w:val="000000" w:themeColor="text1"/>
        </w:rPr>
        <w:t xml:space="preserve">Advancements in technology, both on farm and in food production, has meant that STEM subjects are critical to the future workforce. Due to this, a wider variety of careers will originate from STEM subjects in the future. </w:t>
      </w:r>
    </w:p>
    <w:p w14:paraId="4E19EC22" w14:textId="77777777" w:rsidR="005E43CC" w:rsidRDefault="005E43CC" w:rsidP="005E43CC">
      <w:pPr>
        <w:spacing w:line="257" w:lineRule="auto"/>
        <w:rPr>
          <w:rFonts w:ascii="Calibri" w:eastAsia="Calibri" w:hAnsi="Calibri" w:cs="Calibri"/>
          <w:color w:val="000000" w:themeColor="text1"/>
        </w:rPr>
      </w:pPr>
      <w:r w:rsidRPr="1DDE447B">
        <w:rPr>
          <w:rFonts w:ascii="Calibri" w:eastAsia="Calibri" w:hAnsi="Calibri" w:cs="Calibri"/>
          <w:color w:val="000000" w:themeColor="text1"/>
        </w:rPr>
        <w:t xml:space="preserve">A wide range of industry-based </w:t>
      </w:r>
      <w:r w:rsidRPr="1DDE447B">
        <w:rPr>
          <w:rFonts w:ascii="Calibri" w:eastAsia="Calibri" w:hAnsi="Calibri" w:cs="Calibri"/>
        </w:rPr>
        <w:t>STEM Ambassadors</w:t>
      </w:r>
      <w:r w:rsidRPr="1DDE447B">
        <w:rPr>
          <w:rStyle w:val="FootnoteReference"/>
          <w:rFonts w:ascii="Calibri" w:eastAsia="Calibri" w:hAnsi="Calibri" w:cs="Calibri"/>
          <w:color w:val="000000" w:themeColor="text1"/>
        </w:rPr>
        <w:footnoteReference w:id="3"/>
      </w:r>
      <w:r w:rsidRPr="1DDE447B">
        <w:rPr>
          <w:rFonts w:ascii="Calibri" w:eastAsia="Calibri" w:hAnsi="Calibri" w:cs="Calibri"/>
          <w:color w:val="000000" w:themeColor="text1"/>
        </w:rPr>
        <w:t xml:space="preserve"> provide a useful support to schools and colleges. STEM ambassadors make an impact through supporting learning, illuminating </w:t>
      </w:r>
      <w:proofErr w:type="gramStart"/>
      <w:r w:rsidRPr="1DDE447B">
        <w:rPr>
          <w:rFonts w:ascii="Calibri" w:eastAsia="Calibri" w:hAnsi="Calibri" w:cs="Calibri"/>
          <w:color w:val="000000" w:themeColor="text1"/>
        </w:rPr>
        <w:t>careers</w:t>
      </w:r>
      <w:proofErr w:type="gramEnd"/>
      <w:r w:rsidRPr="1DDE447B">
        <w:rPr>
          <w:rFonts w:ascii="Calibri" w:eastAsia="Calibri" w:hAnsi="Calibri" w:cs="Calibri"/>
          <w:color w:val="000000" w:themeColor="text1"/>
        </w:rPr>
        <w:t xml:space="preserve"> and raising aspirations of learners. This could a resource used to promote the red meat sector. </w:t>
      </w:r>
    </w:p>
    <w:p w14:paraId="5384A892" w14:textId="77777777" w:rsidR="005E43CC" w:rsidRDefault="005E43CC" w:rsidP="005E43CC">
      <w:pPr>
        <w:spacing w:line="257" w:lineRule="auto"/>
        <w:rPr>
          <w:rFonts w:ascii="Calibri" w:eastAsia="Calibri" w:hAnsi="Calibri" w:cs="Calibri"/>
        </w:rPr>
      </w:pPr>
      <w:r w:rsidRPr="1DDE447B">
        <w:rPr>
          <w:rFonts w:ascii="Calibri" w:eastAsia="Calibri" w:hAnsi="Calibri" w:cs="Calibri"/>
          <w:color w:val="000000" w:themeColor="text1"/>
        </w:rPr>
        <w:t xml:space="preserve">Organisations such as RHET advocate for farming and food and drink data to be used in relevant STEM subjects, such as the </w:t>
      </w:r>
      <w:r w:rsidRPr="1DDE447B">
        <w:rPr>
          <w:rFonts w:ascii="Calibri" w:eastAsia="Calibri" w:hAnsi="Calibri" w:cs="Calibri"/>
        </w:rPr>
        <w:t>Data for Schools programme</w:t>
      </w:r>
      <w:r w:rsidRPr="1DDE447B">
        <w:rPr>
          <w:rStyle w:val="FootnoteReference"/>
          <w:rFonts w:ascii="Calibri" w:eastAsia="Calibri" w:hAnsi="Calibri" w:cs="Calibri"/>
        </w:rPr>
        <w:footnoteReference w:id="4"/>
      </w:r>
      <w:r w:rsidRPr="1DDE447B">
        <w:rPr>
          <w:rFonts w:ascii="Calibri" w:eastAsia="Calibri" w:hAnsi="Calibri" w:cs="Calibri"/>
        </w:rPr>
        <w:t xml:space="preserve"> . </w:t>
      </w:r>
    </w:p>
    <w:p w14:paraId="2343C92D" w14:textId="77777777" w:rsidR="005E43CC" w:rsidRDefault="005E43CC" w:rsidP="005E43CC">
      <w:pPr>
        <w:spacing w:line="257" w:lineRule="auto"/>
        <w:rPr>
          <w:rFonts w:ascii="Calibri" w:eastAsia="Calibri" w:hAnsi="Calibri" w:cs="Calibri"/>
          <w:color w:val="000000" w:themeColor="text1"/>
        </w:rPr>
      </w:pPr>
      <w:r w:rsidRPr="1DDE447B">
        <w:rPr>
          <w:rFonts w:ascii="Calibri" w:eastAsia="Calibri" w:hAnsi="Calibri" w:cs="Calibri"/>
          <w:color w:val="000000" w:themeColor="text1"/>
        </w:rPr>
        <w:t xml:space="preserve">The Scottish Government has set out a </w:t>
      </w:r>
      <w:r w:rsidRPr="1DDE447B">
        <w:rPr>
          <w:rFonts w:ascii="Calibri" w:eastAsia="Calibri" w:hAnsi="Calibri" w:cs="Calibri"/>
        </w:rPr>
        <w:t>STEM Education and Training Strategy for Scotland</w:t>
      </w:r>
      <w:r w:rsidRPr="1DDE447B">
        <w:rPr>
          <w:rStyle w:val="FootnoteReference"/>
          <w:rFonts w:ascii="Calibri" w:eastAsia="Calibri" w:hAnsi="Calibri" w:cs="Calibri"/>
          <w:color w:val="000000" w:themeColor="text1"/>
        </w:rPr>
        <w:footnoteReference w:id="5"/>
      </w:r>
      <w:r w:rsidRPr="1DDE447B">
        <w:rPr>
          <w:rFonts w:ascii="Calibri" w:eastAsia="Calibri" w:hAnsi="Calibri" w:cs="Calibri"/>
          <w:color w:val="000000" w:themeColor="text1"/>
        </w:rPr>
        <w:t>. It reports that there has been an encouraging uptake of pre-apprentice and foundation apprenticeship in STEM related programmes, with young people from 325 schools across 32 local authorities participating foundation apprenticeships. Entry into SQF level 6 data shows a 0.4% increase across STEM subjects, with there being a 20.7% increase in passes across STEM subjects from 2019 to 2020.</w:t>
      </w:r>
    </w:p>
    <w:p w14:paraId="7A89788B" w14:textId="77777777" w:rsidR="005E43CC" w:rsidRDefault="005E43CC" w:rsidP="005E43CC">
      <w:pPr>
        <w:spacing w:line="257" w:lineRule="auto"/>
        <w:rPr>
          <w:rFonts w:ascii="Calibri" w:eastAsia="Calibri" w:hAnsi="Calibri" w:cs="Calibri"/>
          <w:color w:val="000000" w:themeColor="text1"/>
        </w:rPr>
      </w:pPr>
      <w:r w:rsidRPr="1DDE447B">
        <w:rPr>
          <w:rFonts w:ascii="Calibri" w:eastAsia="Calibri" w:hAnsi="Calibri" w:cs="Calibri"/>
          <w:color w:val="000000" w:themeColor="text1"/>
        </w:rPr>
        <w:lastRenderedPageBreak/>
        <w:t xml:space="preserve">The National Farmers Union’s (NFU) </w:t>
      </w:r>
      <w:r w:rsidRPr="1DDE447B">
        <w:rPr>
          <w:rFonts w:ascii="Calibri" w:eastAsia="Calibri" w:hAnsi="Calibri" w:cs="Calibri"/>
        </w:rPr>
        <w:t>Inspiring STEM through Agriculture report</w:t>
      </w:r>
      <w:r w:rsidRPr="1DDE447B">
        <w:rPr>
          <w:rStyle w:val="FootnoteReference"/>
          <w:rFonts w:ascii="Calibri" w:eastAsia="Calibri" w:hAnsi="Calibri" w:cs="Calibri"/>
          <w:color w:val="000000" w:themeColor="text1"/>
        </w:rPr>
        <w:footnoteReference w:id="6"/>
      </w:r>
      <w:r w:rsidRPr="1DDE447B">
        <w:rPr>
          <w:rFonts w:ascii="Calibri" w:eastAsia="Calibri" w:hAnsi="Calibri" w:cs="Calibri"/>
          <w:color w:val="000000" w:themeColor="text1"/>
        </w:rPr>
        <w:t xml:space="preserve"> looks at the impact of ‘</w:t>
      </w:r>
      <w:proofErr w:type="spellStart"/>
      <w:r w:rsidRPr="1DDE447B">
        <w:rPr>
          <w:rFonts w:ascii="Calibri" w:eastAsia="Calibri" w:hAnsi="Calibri" w:cs="Calibri"/>
          <w:color w:val="000000" w:themeColor="text1"/>
        </w:rPr>
        <w:t>STEMterprise</w:t>
      </w:r>
      <w:proofErr w:type="spellEnd"/>
      <w:r w:rsidRPr="1DDE447B">
        <w:rPr>
          <w:rFonts w:ascii="Calibri" w:eastAsia="Calibri" w:hAnsi="Calibri" w:cs="Calibri"/>
          <w:color w:val="000000" w:themeColor="text1"/>
        </w:rPr>
        <w:t xml:space="preserve">’ resources on encouraging teachers to use agriculture and farming </w:t>
      </w:r>
      <w:proofErr w:type="gramStart"/>
      <w:r w:rsidRPr="1DDE447B">
        <w:rPr>
          <w:rFonts w:ascii="Calibri" w:eastAsia="Calibri" w:hAnsi="Calibri" w:cs="Calibri"/>
          <w:color w:val="000000" w:themeColor="text1"/>
        </w:rPr>
        <w:t>as a means to</w:t>
      </w:r>
      <w:proofErr w:type="gramEnd"/>
      <w:r w:rsidRPr="1DDE447B">
        <w:rPr>
          <w:rFonts w:ascii="Calibri" w:eastAsia="Calibri" w:hAnsi="Calibri" w:cs="Calibri"/>
          <w:color w:val="000000" w:themeColor="text1"/>
        </w:rPr>
        <w:t xml:space="preserve"> teach STEM.</w:t>
      </w:r>
    </w:p>
    <w:p w14:paraId="666B1324" w14:textId="77777777" w:rsidR="005E43CC" w:rsidRDefault="005E43CC" w:rsidP="00A93AB9"/>
    <w:p w14:paraId="4347955B" w14:textId="173AA291" w:rsidR="00560402" w:rsidRDefault="00F911CC" w:rsidP="00F911CC">
      <w:r w:rsidRPr="00F911CC">
        <w:rPr>
          <w:b/>
          <w:bCs/>
        </w:rPr>
        <w:t>Question 5:</w:t>
      </w:r>
      <w:r>
        <w:t xml:space="preserve"> Can you provide any evidence of skills structures in other places that are delivering outcomes in line with Scotland’s ambitions which Scottish Government should look to in achieving its ambitions?</w:t>
      </w:r>
    </w:p>
    <w:p w14:paraId="4625D93D" w14:textId="77777777" w:rsidR="005E43CC" w:rsidRDefault="005E43CC" w:rsidP="005E43CC">
      <w:pPr>
        <w:rPr>
          <w:rFonts w:ascii="Calibri" w:hAnsi="Calibri" w:cs="Calibri"/>
          <w:shd w:val="clear" w:color="auto" w:fill="FFFFFF"/>
        </w:rPr>
      </w:pPr>
      <w:r w:rsidRPr="1DDE447B">
        <w:rPr>
          <w:rFonts w:ascii="Calibri" w:hAnsi="Calibri" w:cs="Calibri"/>
        </w:rPr>
        <w:t>Food Workforce Wales is a campaign delivered by Food Skills Cymru (</w:t>
      </w:r>
      <w:proofErr w:type="spellStart"/>
      <w:r w:rsidRPr="1DDE447B">
        <w:rPr>
          <w:rFonts w:ascii="Calibri" w:hAnsi="Calibri" w:cs="Calibri"/>
        </w:rPr>
        <w:t>Lantra</w:t>
      </w:r>
      <w:proofErr w:type="spellEnd"/>
      <w:r w:rsidRPr="1DDE447B">
        <w:rPr>
          <w:rFonts w:ascii="Calibri" w:hAnsi="Calibri" w:cs="Calibri"/>
        </w:rPr>
        <w:t>) on behalf of Food &amp; Drink Wales (Welsh Government)</w:t>
      </w:r>
      <w:r w:rsidRPr="1DDE447B">
        <w:rPr>
          <w:rStyle w:val="FootnoteReference"/>
          <w:rFonts w:ascii="Calibri" w:hAnsi="Calibri" w:cs="Calibri"/>
          <w:color w:val="000000" w:themeColor="text1"/>
        </w:rPr>
        <w:footnoteReference w:id="7"/>
      </w:r>
      <w:r w:rsidRPr="1DDE447B">
        <w:rPr>
          <w:rFonts w:ascii="Calibri" w:hAnsi="Calibri" w:cs="Calibri"/>
        </w:rPr>
        <w:t xml:space="preserve"> .</w:t>
      </w:r>
    </w:p>
    <w:p w14:paraId="350BD253" w14:textId="77777777" w:rsidR="005E43CC" w:rsidRDefault="005E43CC" w:rsidP="005E43CC">
      <w:pPr>
        <w:rPr>
          <w:rStyle w:val="eop"/>
          <w:rFonts w:ascii="Calibri" w:hAnsi="Calibri" w:cs="Calibri"/>
          <w:color w:val="000000" w:themeColor="text1"/>
        </w:rPr>
      </w:pPr>
      <w:proofErr w:type="spellStart"/>
      <w:r w:rsidRPr="331715AA">
        <w:rPr>
          <w:rStyle w:val="eop"/>
          <w:rFonts w:ascii="Calibri" w:hAnsi="Calibri" w:cs="Calibri"/>
          <w:color w:val="000000" w:themeColor="text1"/>
        </w:rPr>
        <w:t>Lantra</w:t>
      </w:r>
      <w:proofErr w:type="spellEnd"/>
      <w:r w:rsidRPr="331715AA">
        <w:rPr>
          <w:rStyle w:val="eop"/>
          <w:rFonts w:ascii="Calibri" w:hAnsi="Calibri" w:cs="Calibri"/>
          <w:color w:val="000000" w:themeColor="text1"/>
        </w:rPr>
        <w:t xml:space="preserve"> </w:t>
      </w:r>
      <w:r w:rsidRPr="1D0D57C0">
        <w:rPr>
          <w:rStyle w:val="eop"/>
          <w:rFonts w:ascii="Calibri" w:hAnsi="Calibri" w:cs="Calibri"/>
          <w:color w:val="000000" w:themeColor="text1"/>
        </w:rPr>
        <w:t xml:space="preserve">illustrates how the </w:t>
      </w:r>
      <w:r w:rsidRPr="070399D6">
        <w:rPr>
          <w:rStyle w:val="eop"/>
          <w:rFonts w:ascii="Calibri" w:hAnsi="Calibri" w:cs="Calibri"/>
          <w:color w:val="000000" w:themeColor="text1"/>
        </w:rPr>
        <w:t>campaign showcases</w:t>
      </w:r>
      <w:r w:rsidRPr="296A71E8">
        <w:rPr>
          <w:rStyle w:val="eop"/>
          <w:rFonts w:ascii="Calibri" w:hAnsi="Calibri" w:cs="Calibri"/>
          <w:color w:val="000000" w:themeColor="text1"/>
        </w:rPr>
        <w:t xml:space="preserve"> how fulfilling and diverse a career in the growing Welsh food and drink industry can </w:t>
      </w:r>
      <w:proofErr w:type="gramStart"/>
      <w:r w:rsidRPr="296A71E8">
        <w:rPr>
          <w:rStyle w:val="eop"/>
          <w:rFonts w:ascii="Calibri" w:hAnsi="Calibri" w:cs="Calibri"/>
          <w:color w:val="000000" w:themeColor="text1"/>
        </w:rPr>
        <w:t xml:space="preserve">be, </w:t>
      </w:r>
      <w:r w:rsidRPr="05EB5E5F">
        <w:rPr>
          <w:rStyle w:val="eop"/>
          <w:rFonts w:ascii="Calibri" w:hAnsi="Calibri" w:cs="Calibri"/>
          <w:color w:val="000000" w:themeColor="text1"/>
        </w:rPr>
        <w:t>and</w:t>
      </w:r>
      <w:proofErr w:type="gramEnd"/>
      <w:r w:rsidRPr="296A71E8">
        <w:rPr>
          <w:rStyle w:val="eop"/>
          <w:rFonts w:ascii="Calibri" w:hAnsi="Calibri" w:cs="Calibri"/>
          <w:color w:val="000000" w:themeColor="text1"/>
        </w:rPr>
        <w:t xml:space="preserve"> aims to steer a focus onto roles that are helping to feed the nation.</w:t>
      </w:r>
    </w:p>
    <w:p w14:paraId="219099D7" w14:textId="77777777" w:rsidR="005E43CC" w:rsidRDefault="005E43CC" w:rsidP="005E43CC">
      <w:pPr>
        <w:rPr>
          <w:rStyle w:val="eop"/>
          <w:rFonts w:ascii="Calibri" w:hAnsi="Calibri" w:cs="Calibri"/>
          <w:b/>
          <w:bCs/>
          <w:color w:val="000000" w:themeColor="text1"/>
        </w:rPr>
      </w:pPr>
      <w:r w:rsidRPr="6838761E">
        <w:rPr>
          <w:rStyle w:val="eop"/>
          <w:rFonts w:ascii="Calibri" w:hAnsi="Calibri" w:cs="Calibri"/>
          <w:color w:val="000000" w:themeColor="text1"/>
        </w:rPr>
        <w:t xml:space="preserve">The </w:t>
      </w:r>
      <w:r w:rsidRPr="03980B26">
        <w:rPr>
          <w:rStyle w:val="eop"/>
          <w:rFonts w:ascii="Calibri" w:hAnsi="Calibri" w:cs="Calibri"/>
          <w:color w:val="000000" w:themeColor="text1"/>
        </w:rPr>
        <w:t xml:space="preserve">campaign sets </w:t>
      </w:r>
      <w:r w:rsidRPr="544D8607">
        <w:rPr>
          <w:rStyle w:val="eop"/>
          <w:rFonts w:ascii="Calibri" w:hAnsi="Calibri" w:cs="Calibri"/>
          <w:color w:val="000000" w:themeColor="text1"/>
        </w:rPr>
        <w:t xml:space="preserve">out to demonstrate </w:t>
      </w:r>
      <w:r w:rsidRPr="295245AA">
        <w:rPr>
          <w:rStyle w:val="eop"/>
          <w:rFonts w:ascii="Calibri" w:hAnsi="Calibri" w:cs="Calibri"/>
          <w:color w:val="000000" w:themeColor="text1"/>
        </w:rPr>
        <w:t xml:space="preserve">how each role </w:t>
      </w:r>
      <w:r w:rsidRPr="4135DA78">
        <w:rPr>
          <w:rStyle w:val="eop"/>
          <w:rFonts w:ascii="Calibri" w:hAnsi="Calibri" w:cs="Calibri"/>
          <w:color w:val="000000" w:themeColor="text1"/>
        </w:rPr>
        <w:t>has</w:t>
      </w:r>
      <w:r w:rsidRPr="295245AA">
        <w:rPr>
          <w:rStyle w:val="eop"/>
          <w:rFonts w:ascii="Calibri" w:hAnsi="Calibri" w:cs="Calibri"/>
          <w:color w:val="000000" w:themeColor="text1"/>
        </w:rPr>
        <w:t xml:space="preserve"> its part to play in the important journey from ingredients to finished </w:t>
      </w:r>
      <w:r w:rsidRPr="4E7E3295">
        <w:rPr>
          <w:rStyle w:val="eop"/>
          <w:rFonts w:ascii="Calibri" w:hAnsi="Calibri" w:cs="Calibri"/>
          <w:color w:val="000000" w:themeColor="text1"/>
        </w:rPr>
        <w:t>products, from</w:t>
      </w:r>
      <w:r w:rsidRPr="296A71E8">
        <w:rPr>
          <w:rStyle w:val="eop"/>
          <w:rFonts w:ascii="Calibri" w:hAnsi="Calibri" w:cs="Calibri"/>
          <w:color w:val="000000" w:themeColor="text1"/>
        </w:rPr>
        <w:t xml:space="preserve"> contributing across the supply chain and food production through to being at the cutting edge of new and innovative international product developments</w:t>
      </w:r>
      <w:r w:rsidRPr="4E7E3295">
        <w:rPr>
          <w:rStyle w:val="eop"/>
          <w:rFonts w:ascii="Calibri" w:hAnsi="Calibri" w:cs="Calibri"/>
          <w:color w:val="000000" w:themeColor="text1"/>
        </w:rPr>
        <w:t xml:space="preserve">. </w:t>
      </w:r>
    </w:p>
    <w:p w14:paraId="436A7EDC" w14:textId="77777777" w:rsidR="005E43CC" w:rsidRDefault="005E43CC" w:rsidP="005E43CC">
      <w:pPr>
        <w:rPr>
          <w:rStyle w:val="eop"/>
          <w:rFonts w:ascii="Calibri" w:hAnsi="Calibri" w:cs="Calibri"/>
          <w:color w:val="000000" w:themeColor="text1"/>
        </w:rPr>
      </w:pPr>
      <w:r w:rsidRPr="67D6F336">
        <w:rPr>
          <w:rStyle w:val="eop"/>
          <w:rFonts w:ascii="Calibri" w:hAnsi="Calibri" w:cs="Calibri"/>
          <w:color w:val="000000" w:themeColor="text1"/>
        </w:rPr>
        <w:t xml:space="preserve">This campaign was launched in early 2022 and is aimed at all levels of the </w:t>
      </w:r>
      <w:r w:rsidRPr="5D3BB685">
        <w:rPr>
          <w:rStyle w:val="eop"/>
          <w:rFonts w:ascii="Calibri" w:hAnsi="Calibri" w:cs="Calibri"/>
          <w:color w:val="000000" w:themeColor="text1"/>
        </w:rPr>
        <w:t>workforce</w:t>
      </w:r>
      <w:r w:rsidRPr="67D6F336">
        <w:rPr>
          <w:rStyle w:val="eop"/>
          <w:rFonts w:ascii="Calibri" w:hAnsi="Calibri" w:cs="Calibri"/>
          <w:color w:val="000000" w:themeColor="text1"/>
        </w:rPr>
        <w:t xml:space="preserve">, from the recent school leaver and the college/university graduate through to career changers and those retired interested in a refreshing change. </w:t>
      </w:r>
      <w:r w:rsidRPr="7A302B81">
        <w:rPr>
          <w:rStyle w:val="eop"/>
          <w:rFonts w:ascii="Calibri" w:hAnsi="Calibri" w:cs="Calibri"/>
          <w:color w:val="000000" w:themeColor="text1"/>
        </w:rPr>
        <w:t xml:space="preserve">The campaign highlights that </w:t>
      </w:r>
      <w:r w:rsidRPr="04417A55">
        <w:rPr>
          <w:rStyle w:val="eop"/>
          <w:rFonts w:ascii="Calibri" w:hAnsi="Calibri" w:cs="Calibri"/>
          <w:color w:val="000000" w:themeColor="text1"/>
        </w:rPr>
        <w:t>everyone has</w:t>
      </w:r>
      <w:r w:rsidRPr="67D6F336">
        <w:rPr>
          <w:rStyle w:val="eop"/>
          <w:rFonts w:ascii="Calibri" w:hAnsi="Calibri" w:cs="Calibri"/>
          <w:color w:val="000000" w:themeColor="text1"/>
        </w:rPr>
        <w:t xml:space="preserve"> a role to play in energising and growing the industry in Wales.</w:t>
      </w:r>
    </w:p>
    <w:p w14:paraId="679188C6" w14:textId="77777777" w:rsidR="005E43CC" w:rsidRDefault="005E43CC" w:rsidP="005E43CC">
      <w:pPr>
        <w:rPr>
          <w:rStyle w:val="eop"/>
          <w:rFonts w:ascii="Calibri" w:hAnsi="Calibri" w:cs="Calibri"/>
          <w:color w:val="000000" w:themeColor="text1"/>
        </w:rPr>
      </w:pPr>
      <w:r w:rsidRPr="67D6F336">
        <w:rPr>
          <w:rStyle w:val="eop"/>
          <w:rFonts w:ascii="Calibri" w:hAnsi="Calibri" w:cs="Calibri"/>
          <w:color w:val="000000" w:themeColor="text1"/>
        </w:rPr>
        <w:t xml:space="preserve">The campaign's initial starting focus is </w:t>
      </w:r>
      <w:proofErr w:type="gramStart"/>
      <w:r w:rsidRPr="67D6F336">
        <w:rPr>
          <w:rStyle w:val="eop"/>
          <w:rFonts w:ascii="Calibri" w:hAnsi="Calibri" w:cs="Calibri"/>
          <w:color w:val="000000" w:themeColor="text1"/>
        </w:rPr>
        <w:t>in</w:t>
      </w:r>
      <w:proofErr w:type="gramEnd"/>
      <w:r w:rsidRPr="67D6F336">
        <w:rPr>
          <w:rStyle w:val="eop"/>
          <w:rFonts w:ascii="Calibri" w:hAnsi="Calibri" w:cs="Calibri"/>
          <w:color w:val="000000" w:themeColor="text1"/>
        </w:rPr>
        <w:t xml:space="preserve"> food and drink processing and manufacturing</w:t>
      </w:r>
      <w:r w:rsidRPr="1EE6FBD3">
        <w:rPr>
          <w:rStyle w:val="eop"/>
          <w:rFonts w:ascii="Calibri" w:hAnsi="Calibri" w:cs="Calibri"/>
          <w:color w:val="000000" w:themeColor="text1"/>
        </w:rPr>
        <w:t>, and it</w:t>
      </w:r>
      <w:r w:rsidRPr="6E4C8DAE">
        <w:rPr>
          <w:rStyle w:val="eop"/>
          <w:rFonts w:ascii="Calibri" w:hAnsi="Calibri" w:cs="Calibri"/>
          <w:color w:val="000000" w:themeColor="text1"/>
        </w:rPr>
        <w:t xml:space="preserve"> aims to provide a platform </w:t>
      </w:r>
      <w:r w:rsidRPr="5C5045BF">
        <w:rPr>
          <w:rStyle w:val="eop"/>
          <w:rFonts w:ascii="Calibri" w:hAnsi="Calibri" w:cs="Calibri"/>
          <w:color w:val="000000" w:themeColor="text1"/>
        </w:rPr>
        <w:t xml:space="preserve">for </w:t>
      </w:r>
      <w:r w:rsidRPr="1F787195">
        <w:rPr>
          <w:rStyle w:val="eop"/>
          <w:rFonts w:ascii="Calibri" w:hAnsi="Calibri" w:cs="Calibri"/>
          <w:color w:val="000000" w:themeColor="text1"/>
        </w:rPr>
        <w:t xml:space="preserve">food and drink businesses in </w:t>
      </w:r>
      <w:r w:rsidRPr="42CA879C">
        <w:rPr>
          <w:rStyle w:val="eop"/>
          <w:rFonts w:ascii="Calibri" w:hAnsi="Calibri" w:cs="Calibri"/>
          <w:color w:val="000000" w:themeColor="text1"/>
        </w:rPr>
        <w:t>Wales that</w:t>
      </w:r>
      <w:r w:rsidRPr="6E4C8DAE">
        <w:rPr>
          <w:rStyle w:val="eop"/>
          <w:rFonts w:ascii="Calibri" w:hAnsi="Calibri" w:cs="Calibri"/>
          <w:color w:val="000000" w:themeColor="text1"/>
        </w:rPr>
        <w:t xml:space="preserve"> will include: </w:t>
      </w:r>
    </w:p>
    <w:p w14:paraId="5538FF60" w14:textId="77777777" w:rsidR="005E43CC" w:rsidRDefault="005E43CC" w:rsidP="005E43CC">
      <w:pPr>
        <w:pStyle w:val="ListParagraph"/>
        <w:numPr>
          <w:ilvl w:val="0"/>
          <w:numId w:val="4"/>
        </w:numPr>
        <w:rPr>
          <w:rStyle w:val="eop"/>
          <w:rFonts w:eastAsiaTheme="minorEastAsia"/>
          <w:color w:val="000000" w:themeColor="text1"/>
        </w:rPr>
      </w:pPr>
      <w:r w:rsidRPr="6E4C8DAE">
        <w:rPr>
          <w:rStyle w:val="eop"/>
          <w:rFonts w:ascii="Calibri" w:hAnsi="Calibri" w:cs="Calibri"/>
          <w:color w:val="000000" w:themeColor="text1"/>
        </w:rPr>
        <w:t>An overarching identity for future recruitment drives and pilot work around sustainable workforce issues.</w:t>
      </w:r>
    </w:p>
    <w:p w14:paraId="06A9F1DA" w14:textId="77777777" w:rsidR="005E43CC" w:rsidRDefault="005E43CC" w:rsidP="005E43CC">
      <w:pPr>
        <w:pStyle w:val="ListParagraph"/>
        <w:numPr>
          <w:ilvl w:val="0"/>
          <w:numId w:val="4"/>
        </w:numPr>
        <w:rPr>
          <w:rStyle w:val="eop"/>
          <w:rFonts w:eastAsiaTheme="minorEastAsia"/>
          <w:color w:val="000000" w:themeColor="text1"/>
        </w:rPr>
      </w:pPr>
      <w:r w:rsidRPr="6E4C8DAE">
        <w:rPr>
          <w:rStyle w:val="eop"/>
          <w:rFonts w:ascii="Calibri" w:hAnsi="Calibri" w:cs="Calibri"/>
          <w:color w:val="000000" w:themeColor="text1"/>
        </w:rPr>
        <w:t>Develop further the Food Skills Cymru Jobs Notice Board to highlight current positions in the industry.</w:t>
      </w:r>
    </w:p>
    <w:p w14:paraId="40AFE1DB" w14:textId="77777777" w:rsidR="005E43CC" w:rsidRDefault="005E43CC" w:rsidP="005E43CC">
      <w:pPr>
        <w:pStyle w:val="ListParagraph"/>
        <w:numPr>
          <w:ilvl w:val="0"/>
          <w:numId w:val="4"/>
        </w:numPr>
        <w:rPr>
          <w:rStyle w:val="eop"/>
          <w:rFonts w:eastAsiaTheme="minorEastAsia"/>
          <w:color w:val="000000" w:themeColor="text1"/>
        </w:rPr>
      </w:pPr>
      <w:r w:rsidRPr="6E4C8DAE">
        <w:rPr>
          <w:rStyle w:val="eop"/>
          <w:rFonts w:ascii="Calibri" w:hAnsi="Calibri" w:cs="Calibri"/>
          <w:color w:val="000000" w:themeColor="text1"/>
        </w:rPr>
        <w:t>Case study interesting personal and company stories that will entice potential applicants into the industry.</w:t>
      </w:r>
    </w:p>
    <w:p w14:paraId="36786819" w14:textId="77777777" w:rsidR="005E43CC" w:rsidRDefault="005E43CC" w:rsidP="005E43CC">
      <w:pPr>
        <w:pStyle w:val="ListParagraph"/>
        <w:numPr>
          <w:ilvl w:val="0"/>
          <w:numId w:val="4"/>
        </w:numPr>
        <w:rPr>
          <w:rStyle w:val="eop"/>
          <w:rFonts w:eastAsiaTheme="minorEastAsia"/>
          <w:color w:val="000000" w:themeColor="text1"/>
        </w:rPr>
      </w:pPr>
      <w:r w:rsidRPr="6E4C8DAE">
        <w:rPr>
          <w:rStyle w:val="eop"/>
          <w:rFonts w:ascii="Calibri" w:hAnsi="Calibri" w:cs="Calibri"/>
          <w:color w:val="000000" w:themeColor="text1"/>
        </w:rPr>
        <w:t>Work with stakeholders, from key representative bodies through to varying groups, aimed at amplifying our campaign message far and wide.</w:t>
      </w:r>
    </w:p>
    <w:p w14:paraId="5E30906C" w14:textId="77777777" w:rsidR="005E43CC" w:rsidRDefault="005E43CC" w:rsidP="005E43CC">
      <w:pPr>
        <w:rPr>
          <w:rStyle w:val="eop"/>
          <w:rFonts w:ascii="Calibri" w:hAnsi="Calibri" w:cs="Calibri"/>
          <w:color w:val="000000" w:themeColor="text1"/>
        </w:rPr>
      </w:pPr>
      <w:r w:rsidRPr="1DDE447B">
        <w:rPr>
          <w:rFonts w:ascii="Calibri" w:hAnsi="Calibri" w:cs="Calibri"/>
        </w:rPr>
        <w:t>Agriculture in the Classroom Canada (AITC-C)</w:t>
      </w:r>
      <w:r w:rsidRPr="1DDE447B">
        <w:rPr>
          <w:rStyle w:val="eop"/>
          <w:rFonts w:ascii="Calibri" w:hAnsi="Calibri" w:cs="Calibri"/>
          <w:color w:val="000000" w:themeColor="text1"/>
        </w:rPr>
        <w:t xml:space="preserve"> is a Canadian charitable organization with a vision to “bring agriculture to every classroom to inspire every student”</w:t>
      </w:r>
      <w:r w:rsidRPr="1DDE447B">
        <w:rPr>
          <w:rStyle w:val="FootnoteReference"/>
          <w:rFonts w:ascii="Calibri" w:hAnsi="Calibri" w:cs="Calibri"/>
          <w:color w:val="000000" w:themeColor="text1"/>
        </w:rPr>
        <w:footnoteReference w:id="8"/>
      </w:r>
      <w:r w:rsidRPr="1DDE447B">
        <w:rPr>
          <w:rStyle w:val="eop"/>
          <w:rFonts w:ascii="Calibri" w:hAnsi="Calibri" w:cs="Calibri"/>
          <w:color w:val="000000" w:themeColor="text1"/>
        </w:rPr>
        <w:t xml:space="preserve">. Its ambition is to ensure that every Canadian student is inspired to consider the role they play in Canada’s agriculture and food story. </w:t>
      </w:r>
    </w:p>
    <w:p w14:paraId="08216477" w14:textId="77777777" w:rsidR="005E43CC" w:rsidRDefault="005E43CC" w:rsidP="005E43CC">
      <w:pPr>
        <w:rPr>
          <w:rStyle w:val="eop"/>
          <w:rFonts w:ascii="Calibri" w:hAnsi="Calibri" w:cs="Calibri"/>
          <w:color w:val="000000" w:themeColor="text1"/>
        </w:rPr>
      </w:pPr>
      <w:r w:rsidRPr="61904188">
        <w:rPr>
          <w:rStyle w:val="eop"/>
          <w:rFonts w:ascii="Calibri" w:hAnsi="Calibri" w:cs="Calibri"/>
          <w:color w:val="000000" w:themeColor="text1"/>
        </w:rPr>
        <w:t xml:space="preserve">AITC-C comprises 10 provincial member organisations which act as the delivery network </w:t>
      </w:r>
      <w:r w:rsidRPr="3139E9DF">
        <w:rPr>
          <w:rStyle w:val="eop"/>
          <w:rFonts w:ascii="Calibri" w:hAnsi="Calibri" w:cs="Calibri"/>
          <w:color w:val="000000" w:themeColor="text1"/>
        </w:rPr>
        <w:t>to</w:t>
      </w:r>
      <w:r w:rsidRPr="61904188">
        <w:rPr>
          <w:rStyle w:val="eop"/>
          <w:rFonts w:ascii="Calibri" w:hAnsi="Calibri" w:cs="Calibri"/>
          <w:color w:val="000000" w:themeColor="text1"/>
        </w:rPr>
        <w:t xml:space="preserve"> </w:t>
      </w:r>
      <w:r w:rsidRPr="3B902FA1">
        <w:rPr>
          <w:rStyle w:val="eop"/>
          <w:rFonts w:ascii="Calibri" w:hAnsi="Calibri" w:cs="Calibri"/>
          <w:color w:val="000000" w:themeColor="text1"/>
        </w:rPr>
        <w:t>provide</w:t>
      </w:r>
      <w:r w:rsidRPr="61904188">
        <w:rPr>
          <w:rStyle w:val="eop"/>
          <w:rFonts w:ascii="Calibri" w:hAnsi="Calibri" w:cs="Calibri"/>
          <w:color w:val="000000" w:themeColor="text1"/>
        </w:rPr>
        <w:t xml:space="preserve"> accurate, balanced, and current curriculum-linked resources, programmes and initiatives for educators and students at all levels. Over the year 2020-21, AITC-C delivered over 2 million student experiences in agriculture education. </w:t>
      </w:r>
    </w:p>
    <w:p w14:paraId="0417EBEC" w14:textId="77777777" w:rsidR="005E43CC" w:rsidRDefault="005E43CC" w:rsidP="005E43CC">
      <w:pPr>
        <w:rPr>
          <w:rStyle w:val="eop"/>
          <w:rFonts w:ascii="Calibri" w:hAnsi="Calibri" w:cs="Calibri"/>
          <w:color w:val="000000" w:themeColor="text1"/>
        </w:rPr>
      </w:pPr>
      <w:r w:rsidRPr="1DDE447B">
        <w:rPr>
          <w:rStyle w:val="eop"/>
          <w:rFonts w:ascii="Calibri" w:hAnsi="Calibri" w:cs="Calibri"/>
          <w:color w:val="000000" w:themeColor="text1"/>
        </w:rPr>
        <w:lastRenderedPageBreak/>
        <w:t xml:space="preserve">The charity has recently held impact framework sessions in every province, and in February 2021, subsequently laid out its </w:t>
      </w:r>
      <w:r w:rsidRPr="1DDE447B">
        <w:rPr>
          <w:rFonts w:ascii="Calibri" w:hAnsi="Calibri" w:cs="Calibri"/>
        </w:rPr>
        <w:t>path to success in agriculture education</w:t>
      </w:r>
      <w:r w:rsidRPr="1DDE447B">
        <w:rPr>
          <w:rStyle w:val="FootnoteReference"/>
          <w:rFonts w:ascii="Calibri" w:hAnsi="Calibri" w:cs="Calibri"/>
          <w:color w:val="000000" w:themeColor="text1"/>
        </w:rPr>
        <w:footnoteReference w:id="9"/>
      </w:r>
      <w:r w:rsidRPr="1DDE447B">
        <w:rPr>
          <w:rStyle w:val="eop"/>
          <w:rFonts w:ascii="Calibri" w:hAnsi="Calibri" w:cs="Calibri"/>
          <w:color w:val="000000" w:themeColor="text1"/>
        </w:rPr>
        <w:t>. The key observations from its national engagement sessions were:</w:t>
      </w:r>
    </w:p>
    <w:p w14:paraId="24C2632D" w14:textId="77777777" w:rsidR="005E43CC" w:rsidRDefault="005E43CC" w:rsidP="005E43CC">
      <w:pPr>
        <w:pStyle w:val="ListParagraph"/>
        <w:numPr>
          <w:ilvl w:val="0"/>
          <w:numId w:val="5"/>
        </w:numPr>
        <w:rPr>
          <w:rStyle w:val="eop"/>
          <w:rFonts w:eastAsiaTheme="minorEastAsia"/>
          <w:color w:val="000000" w:themeColor="text1"/>
        </w:rPr>
      </w:pPr>
      <w:r w:rsidRPr="464C813A">
        <w:rPr>
          <w:rStyle w:val="eop"/>
          <w:rFonts w:eastAsiaTheme="minorEastAsia"/>
          <w:color w:val="000000" w:themeColor="text1"/>
        </w:rPr>
        <w:t>Importance of both in-person and online delivery</w:t>
      </w:r>
    </w:p>
    <w:p w14:paraId="50636FCB" w14:textId="77777777" w:rsidR="005E43CC" w:rsidRDefault="005E43CC" w:rsidP="005E43CC">
      <w:pPr>
        <w:pStyle w:val="ListParagraph"/>
        <w:numPr>
          <w:ilvl w:val="0"/>
          <w:numId w:val="5"/>
        </w:numPr>
        <w:rPr>
          <w:rStyle w:val="eop"/>
          <w:rFonts w:eastAsiaTheme="minorEastAsia"/>
          <w:color w:val="000000" w:themeColor="text1"/>
        </w:rPr>
      </w:pPr>
      <w:r w:rsidRPr="464C813A">
        <w:rPr>
          <w:rStyle w:val="eop"/>
          <w:rFonts w:eastAsiaTheme="minorEastAsia"/>
          <w:color w:val="000000" w:themeColor="text1"/>
        </w:rPr>
        <w:t>Opportunities for more collaboration/partnerships</w:t>
      </w:r>
    </w:p>
    <w:p w14:paraId="11C48C4D" w14:textId="77777777" w:rsidR="005E43CC" w:rsidRDefault="005E43CC" w:rsidP="005E43CC">
      <w:pPr>
        <w:pStyle w:val="ListParagraph"/>
        <w:numPr>
          <w:ilvl w:val="0"/>
          <w:numId w:val="5"/>
        </w:numPr>
        <w:rPr>
          <w:rStyle w:val="eop"/>
          <w:rFonts w:eastAsiaTheme="minorEastAsia"/>
          <w:color w:val="000000" w:themeColor="text1"/>
        </w:rPr>
      </w:pPr>
      <w:r w:rsidRPr="464C813A">
        <w:rPr>
          <w:rStyle w:val="eop"/>
          <w:rFonts w:eastAsiaTheme="minorEastAsia"/>
          <w:color w:val="000000" w:themeColor="text1"/>
        </w:rPr>
        <w:t>Better align what industry wants students to learn about with what teachers need to do their jobs</w:t>
      </w:r>
    </w:p>
    <w:p w14:paraId="3C471960" w14:textId="77777777" w:rsidR="005E43CC" w:rsidRDefault="005E43CC" w:rsidP="005E43CC">
      <w:pPr>
        <w:pStyle w:val="ListParagraph"/>
        <w:numPr>
          <w:ilvl w:val="0"/>
          <w:numId w:val="5"/>
        </w:numPr>
        <w:rPr>
          <w:rStyle w:val="eop"/>
          <w:rFonts w:eastAsiaTheme="minorEastAsia"/>
          <w:color w:val="000000" w:themeColor="text1"/>
        </w:rPr>
      </w:pPr>
      <w:r w:rsidRPr="464C813A">
        <w:rPr>
          <w:rStyle w:val="eop"/>
          <w:rFonts w:eastAsiaTheme="minorEastAsia"/>
          <w:color w:val="000000" w:themeColor="text1"/>
        </w:rPr>
        <w:t xml:space="preserve">Stakeholder communication about Canada-wide approach </w:t>
      </w:r>
    </w:p>
    <w:p w14:paraId="0EA54295" w14:textId="77777777" w:rsidR="005E43CC" w:rsidRDefault="005E43CC" w:rsidP="005E43CC">
      <w:pPr>
        <w:pStyle w:val="ListParagraph"/>
        <w:numPr>
          <w:ilvl w:val="0"/>
          <w:numId w:val="5"/>
        </w:numPr>
        <w:rPr>
          <w:rStyle w:val="eop"/>
          <w:rFonts w:eastAsiaTheme="minorEastAsia"/>
          <w:color w:val="000000" w:themeColor="text1"/>
        </w:rPr>
      </w:pPr>
      <w:r w:rsidRPr="464C813A">
        <w:rPr>
          <w:rStyle w:val="eop"/>
          <w:rFonts w:eastAsiaTheme="minorEastAsia"/>
          <w:color w:val="000000" w:themeColor="text1"/>
        </w:rPr>
        <w:t xml:space="preserve">Importance of measuring impact (not just reach) </w:t>
      </w:r>
    </w:p>
    <w:p w14:paraId="3F7B61A1" w14:textId="5F606395" w:rsidR="005E43CC" w:rsidRDefault="005E43CC" w:rsidP="005E43CC"/>
    <w:p w14:paraId="458AD40F" w14:textId="5C0DB3B2" w:rsidR="00CB4AAB" w:rsidRDefault="00CB4AAB" w:rsidP="00CB4AAB">
      <w:pPr>
        <w:rPr>
          <w:b/>
          <w:bCs/>
          <w:i/>
          <w:iCs/>
        </w:rPr>
      </w:pPr>
      <w:r w:rsidRPr="00CB4AAB">
        <w:rPr>
          <w:b/>
          <w:bCs/>
          <w:i/>
          <w:iCs/>
        </w:rPr>
        <w:t>Question 6: Do you have any evidence relating to the outcomes of the current funding and delivery of apprenticeship programmes (Modern Apprenticeships, Foundation Apprenticeships and Graduate Apprenticeships) in terms of either outcomes for learners and/or the needs of employers?</w:t>
      </w:r>
    </w:p>
    <w:p w14:paraId="79F60D40" w14:textId="1B4B3DAF" w:rsidR="00CB4AAB" w:rsidRDefault="008A3525" w:rsidP="00CB4AAB">
      <w:r>
        <w:t>Some inspiration could be taken from the implementation and objectives of pre-apprenticeships</w:t>
      </w:r>
      <w:r w:rsidRPr="008A3525">
        <w:t xml:space="preserve"> </w:t>
      </w:r>
      <w:r>
        <w:t xml:space="preserve">and National Progression Awards (NPAs) as they are aimed at assessing a defined set of skills and knowledge in specialist vocational areas and are delivered in partnership between schools, </w:t>
      </w:r>
      <w:proofErr w:type="gramStart"/>
      <w:r>
        <w:t>colleges</w:t>
      </w:r>
      <w:proofErr w:type="gramEnd"/>
      <w:r>
        <w:t xml:space="preserve"> and employers.</w:t>
      </w:r>
    </w:p>
    <w:p w14:paraId="7532E0B7" w14:textId="3D118C05" w:rsidR="00D1293B" w:rsidRDefault="00D1293B" w:rsidP="00CB4AAB">
      <w:r w:rsidRPr="00D1293B">
        <w:t>Employer input is crucial, and the farming sector must find the time and resource to contribute as an equal partner. The course content and delivery will be more robust and relevant if Industry can influence from their perspective</w:t>
      </w:r>
      <w:r>
        <w:t>.</w:t>
      </w:r>
    </w:p>
    <w:p w14:paraId="4F991812" w14:textId="77777777" w:rsidR="00092FEB" w:rsidRPr="00092FEB" w:rsidRDefault="00092FEB" w:rsidP="00092FEB">
      <w:pPr>
        <w:rPr>
          <w:color w:val="000000" w:themeColor="text1"/>
        </w:rPr>
      </w:pPr>
      <w:r w:rsidRPr="4EFD7E9A">
        <w:t>Similarly, there is potential for more proactive collaboration with key partners, including Government policy makers, Government agencies and education and training providers</w:t>
      </w:r>
    </w:p>
    <w:p w14:paraId="65357A13" w14:textId="77777777" w:rsidR="00092FEB" w:rsidRDefault="00092FEB" w:rsidP="00CB4AAB"/>
    <w:p w14:paraId="6F674D3A" w14:textId="77777777" w:rsidR="00CB4AAB" w:rsidRPr="00CB4AAB" w:rsidRDefault="00CB4AAB" w:rsidP="00CB4AAB">
      <w:pPr>
        <w:rPr>
          <w:b/>
          <w:bCs/>
          <w:i/>
          <w:iCs/>
        </w:rPr>
      </w:pPr>
      <w:r w:rsidRPr="00CB4AAB">
        <w:rPr>
          <w:b/>
          <w:bCs/>
          <w:i/>
          <w:iCs/>
        </w:rPr>
        <w:t>Question 7: The Terms of Reference sets out an ambition for apprenticeship programmes to be an embedded part of the wider education system to ensure that there are a range of different pathways available to learners. Do you have any views or evidence on how changes to the operation of apprenticeship programmes could support this ambition?</w:t>
      </w:r>
    </w:p>
    <w:p w14:paraId="690AA95F" w14:textId="5058D7C0" w:rsidR="00CB4AAB" w:rsidRDefault="008A3525" w:rsidP="00CB4AAB">
      <w:r>
        <w:t xml:space="preserve">As previously highlighted, the agriculture and food and drink sectors need to be promoted hugely valuable to the nation and therefore as career worthy in the first instance </w:t>
      </w:r>
      <w:proofErr w:type="gramStart"/>
      <w:r>
        <w:t>in order for</w:t>
      </w:r>
      <w:proofErr w:type="gramEnd"/>
      <w:r>
        <w:t xml:space="preserve"> students to be motivated to seek out </w:t>
      </w:r>
      <w:r w:rsidRPr="008A3525">
        <w:t>apprenticeship programmes</w:t>
      </w:r>
      <w:r>
        <w:t xml:space="preserve"> in these industries. </w:t>
      </w:r>
    </w:p>
    <w:p w14:paraId="7B59B03F" w14:textId="25BD7386" w:rsidR="00092FEB" w:rsidRDefault="00092FEB" w:rsidP="00CB4AAB">
      <w:r w:rsidRPr="00D1293B">
        <w:t xml:space="preserve">Schools, land-based colleges, and other skills providers are central to recruitment and retention. Schools are influential in developing interest in ‘jobs’, </w:t>
      </w:r>
      <w:proofErr w:type="gramStart"/>
      <w:r w:rsidRPr="00D1293B">
        <w:t>careers</w:t>
      </w:r>
      <w:proofErr w:type="gramEnd"/>
      <w:r w:rsidRPr="00D1293B">
        <w:t xml:space="preserve"> and further education. The food and farming sectors must work with and influence the school curriculum, promote better uptake of food and farming related subjects and qualifications and promote food and farming as an education and career option. There is a belief that schools and career advisors do not promote the farming and food sector, which is often perceived as a ‘last resort’ for those less able or academic. The sector needs clearly defined career pathways, from entry level and beyond.</w:t>
      </w:r>
    </w:p>
    <w:p w14:paraId="1A3E402A" w14:textId="79EF7EA9" w:rsidR="00D1293B" w:rsidRDefault="00D1293B" w:rsidP="00CB4AAB">
      <w:r w:rsidRPr="00D1293B">
        <w:lastRenderedPageBreak/>
        <w:t>There needs to be collaboration between skills and education providers, rather than competition. Currently, this leads to them operating in silos rather than as a network. Providers could increase student numbers through better collective marketing with each other and industry, with clear signposting</w:t>
      </w:r>
      <w:r>
        <w:t xml:space="preserve">. </w:t>
      </w:r>
    </w:p>
    <w:p w14:paraId="73DB0464" w14:textId="77777777" w:rsidR="00092FEB" w:rsidRDefault="00092FEB" w:rsidP="00CB4AAB"/>
    <w:p w14:paraId="591092BA" w14:textId="77777777" w:rsidR="00CB4AAB" w:rsidRPr="00CB4AAB" w:rsidRDefault="00CB4AAB" w:rsidP="00CB4AAB">
      <w:pPr>
        <w:rPr>
          <w:b/>
          <w:bCs/>
          <w:i/>
          <w:iCs/>
        </w:rPr>
      </w:pPr>
      <w:r w:rsidRPr="00CB4AAB">
        <w:rPr>
          <w:b/>
          <w:bCs/>
          <w:i/>
          <w:iCs/>
        </w:rPr>
        <w:t>Question 8: Apprenticeships are often described as being ‘demand-led’. Do you have any evidence about how process for developing and approving apprenticeship frameworks responds to skills priorities? Please include suggestions of how the development process could be enhanced.</w:t>
      </w:r>
    </w:p>
    <w:p w14:paraId="6BD9D504" w14:textId="00D0434B" w:rsidR="00CB4AAB" w:rsidRDefault="00CB4AAB" w:rsidP="00CB4AAB">
      <w:r w:rsidRPr="00CB4AAB">
        <w:t xml:space="preserve">Despite the continuing success of the industry, it is not a popular career pathway for new entrants. 0.9% of Modern Apprenticeships (MAs) starts at the end of Q3 2021/22 were in the animal care, </w:t>
      </w:r>
      <w:proofErr w:type="gramStart"/>
      <w:r w:rsidRPr="00CB4AAB">
        <w:t>land</w:t>
      </w:r>
      <w:proofErr w:type="gramEnd"/>
      <w:r w:rsidRPr="00CB4AAB">
        <w:t xml:space="preserve"> and water-based category (which includes Horticulture, Rural Land Use and Management Technical Apprenticeship, Rural Skills, and Veterinary Nursing MAs) and 3.4% were in the food and drink category (covering Agriculture, Technical Apprenticeship, Food and Drink Operations and Food and Drink Technical MAs).</w:t>
      </w:r>
    </w:p>
    <w:p w14:paraId="64ADBCDE" w14:textId="513C6731" w:rsidR="00CB4AAB" w:rsidRDefault="00CB4AAB" w:rsidP="00CB4AAB">
      <w:r>
        <w:t>According to SDS’s February 2022 sectoral skills assessment, “pre-apprenticeship models and N</w:t>
      </w:r>
      <w:r w:rsidR="008A3525">
        <w:t xml:space="preserve">ational </w:t>
      </w:r>
      <w:r>
        <w:t>P</w:t>
      </w:r>
      <w:r w:rsidR="008A3525">
        <w:t xml:space="preserve">rogression </w:t>
      </w:r>
      <w:r>
        <w:t>A</w:t>
      </w:r>
      <w:r w:rsidR="008A3525">
        <w:t>ward</w:t>
      </w:r>
      <w:r>
        <w:t xml:space="preserve">s continue to raise awareness of the [food and drink primary production] sector amongst young </w:t>
      </w:r>
      <w:proofErr w:type="gramStart"/>
      <w:r>
        <w:t>people, and</w:t>
      </w:r>
      <w:proofErr w:type="gramEnd"/>
      <w:r>
        <w:t xml:space="preserve"> build a pipeline of new recruits. Recent developments include flexible delivery to address seasonality. Strong partnerships at a local and national level have helped drive innovation and business engagement”. We hope that </w:t>
      </w:r>
      <w:r w:rsidR="008A3525">
        <w:t xml:space="preserve">the result of the pre-apprenticeship models will see more students choosing to continue into MAs related to agriculture and the food and drink sector. </w:t>
      </w:r>
    </w:p>
    <w:p w14:paraId="50B241FD" w14:textId="257E1CA7" w:rsidR="00CB4AAB" w:rsidRDefault="00CB4AAB" w:rsidP="00CB4AAB">
      <w:r>
        <w:t>Foundation Apprenticeships (FAs) offer a blend of academic and work-based learning. They are designed to enhance and expand existing pathways from school, with multiple progression routes on completion to work, college or university. Lasting one or two years, pupils begin their Foundation Apprenticeship in S5 or S6. The Food and Drink FA was introduced in 2017 and provides a gateway into other courses within the food and drink industry.</w:t>
      </w:r>
      <w:r w:rsidR="008A3525">
        <w:t xml:space="preserve"> Signposts to this FA would encourage more students to subsequently take up an MA </w:t>
      </w:r>
      <w:r w:rsidR="008A3525" w:rsidRPr="00CB4AAB">
        <w:t xml:space="preserve">were in the animal care, </w:t>
      </w:r>
      <w:proofErr w:type="gramStart"/>
      <w:r w:rsidR="008A3525" w:rsidRPr="00CB4AAB">
        <w:t>land</w:t>
      </w:r>
      <w:proofErr w:type="gramEnd"/>
      <w:r w:rsidR="008A3525" w:rsidRPr="00CB4AAB">
        <w:t xml:space="preserve"> and water-based category</w:t>
      </w:r>
      <w:r w:rsidR="008A3525">
        <w:t xml:space="preserve">. </w:t>
      </w:r>
    </w:p>
    <w:p w14:paraId="335C9BE8" w14:textId="77777777" w:rsidR="00CB4AAB" w:rsidRDefault="00CB4AAB" w:rsidP="00CB4AAB"/>
    <w:p w14:paraId="0FD93CF3" w14:textId="0BF2BCA4" w:rsidR="005E43CC" w:rsidRDefault="00CB4AAB" w:rsidP="00CB4AAB">
      <w:pPr>
        <w:rPr>
          <w:b/>
          <w:bCs/>
          <w:i/>
          <w:iCs/>
        </w:rPr>
      </w:pPr>
      <w:r w:rsidRPr="00CB4AAB">
        <w:rPr>
          <w:b/>
          <w:bCs/>
          <w:i/>
          <w:iCs/>
        </w:rPr>
        <w:t>Question 9: SAAB and AAG are described as employer-led groups. Do you have evidence on the benefits or risks of employer leadership in apprenticeship development or the impact it has on outcomes for apprentices and/or employers? Please include suggestions for how the governance of apprenticeship design and delivery could be strengthened.</w:t>
      </w:r>
    </w:p>
    <w:p w14:paraId="7A3B9E11" w14:textId="5C2BDEBF" w:rsidR="00D1293B" w:rsidRDefault="00D1293B" w:rsidP="00CB4AAB">
      <w:pPr>
        <w:rPr>
          <w:b/>
          <w:bCs/>
          <w:i/>
          <w:iCs/>
        </w:rPr>
      </w:pPr>
    </w:p>
    <w:p w14:paraId="1A0D26DF" w14:textId="0598F88E" w:rsidR="00D1293B" w:rsidRDefault="00D1293B" w:rsidP="00CB4AAB">
      <w:pPr>
        <w:rPr>
          <w:b/>
          <w:bCs/>
          <w:i/>
          <w:iCs/>
        </w:rPr>
      </w:pPr>
    </w:p>
    <w:p w14:paraId="58841442" w14:textId="35AB28D3" w:rsidR="00D1293B" w:rsidRDefault="00A918E5" w:rsidP="00CB4AAB">
      <w:pPr>
        <w:rPr>
          <w:b/>
          <w:bCs/>
          <w:i/>
          <w:iCs/>
        </w:rPr>
      </w:pPr>
      <w:r>
        <w:rPr>
          <w:rStyle w:val="Strong"/>
          <w:rFonts w:ascii="Roboto" w:hAnsi="Roboto"/>
          <w:color w:val="333333"/>
          <w:sz w:val="29"/>
          <w:szCs w:val="29"/>
          <w:shd w:val="clear" w:color="auto" w:fill="FFFFFF"/>
        </w:rPr>
        <w:t>Question 14: </w:t>
      </w:r>
      <w:r>
        <w:rPr>
          <w:rFonts w:ascii="Roboto" w:hAnsi="Roboto"/>
          <w:color w:val="333333"/>
          <w:sz w:val="29"/>
          <w:szCs w:val="29"/>
          <w:shd w:val="clear" w:color="auto" w:fill="FFFFFF"/>
        </w:rPr>
        <w:t>Thinking about the government’s ambition to optimise the existing system for upskilling and reskilling throughout life, do you have any evidence to support how changes to the delivery landscape could help to achieve this ambition?</w:t>
      </w:r>
    </w:p>
    <w:p w14:paraId="283BA4B6" w14:textId="2BEA2A35" w:rsidR="00D1293B" w:rsidRPr="00D1293B" w:rsidRDefault="00D1293B" w:rsidP="00D1293B">
      <w:r w:rsidRPr="00D1293B">
        <w:t xml:space="preserve">NFUS published a briefing in September 2021, outlining the feedback it had received from farmers and crofters in identifying the challenges and opportunities their sector faces in attracting and </w:t>
      </w:r>
      <w:r w:rsidRPr="00D1293B">
        <w:lastRenderedPageBreak/>
        <w:t xml:space="preserve">retaining staff. It must be noted that this briefing focused on the farming sector in Scotland, not the complete red meat supply chain. </w:t>
      </w:r>
    </w:p>
    <w:p w14:paraId="132A9683" w14:textId="6D6DB576" w:rsidR="00D1293B" w:rsidRDefault="00D1293B" w:rsidP="00D1293B">
      <w:r w:rsidRPr="00D1293B">
        <w:t>The NFUS held 15 focus groups, spanning all of Scotland’s regions and farming and crofting sectors. A summary of some of the conclusions that were reached is:</w:t>
      </w:r>
    </w:p>
    <w:p w14:paraId="24D77218" w14:textId="6999BFCB" w:rsidR="00092FEB" w:rsidRPr="00D1293B" w:rsidRDefault="00092FEB" w:rsidP="00A918E5">
      <w:pPr>
        <w:pStyle w:val="ListParagraph"/>
        <w:numPr>
          <w:ilvl w:val="0"/>
          <w:numId w:val="7"/>
        </w:numPr>
      </w:pPr>
      <w:r w:rsidRPr="00D1293B">
        <w:t xml:space="preserve">There needs to be a national strategy for land-based education and skills, and a campaign to accurately promote the sector as positive, high tech and progressive. </w:t>
      </w:r>
    </w:p>
    <w:p w14:paraId="1B62614E" w14:textId="22544C0E" w:rsidR="00D1293B" w:rsidRDefault="00D1293B" w:rsidP="00A918E5">
      <w:pPr>
        <w:pStyle w:val="ListParagraph"/>
        <w:numPr>
          <w:ilvl w:val="0"/>
          <w:numId w:val="7"/>
        </w:numPr>
      </w:pPr>
      <w:r w:rsidRPr="00D1293B">
        <w:t xml:space="preserve">There </w:t>
      </w:r>
      <w:r>
        <w:t>is</w:t>
      </w:r>
      <w:r w:rsidRPr="00D1293B">
        <w:t xml:space="preserve"> keen interest in upskilling existing staff. Available courses could be more clearly promoted, and accessible, particularly in remote regions. Farmers and staff would benefit from an effective point of contact/information with clarity on courses available, from whom, where, and the ability to flag up an interest. There was a preference for the information to be on one site and the ability to speak to a knowledgeable person for initial guidance</w:t>
      </w:r>
    </w:p>
    <w:p w14:paraId="16F685C9" w14:textId="340D7FE5" w:rsidR="00092FEB" w:rsidRDefault="00092FEB" w:rsidP="00A918E5">
      <w:pPr>
        <w:pStyle w:val="ListParagraph"/>
        <w:numPr>
          <w:ilvl w:val="0"/>
          <w:numId w:val="7"/>
        </w:numPr>
      </w:pPr>
      <w:r w:rsidRPr="00092FEB">
        <w:t>Employer input is crucial, and the farming sector must find the time and resource to contribute as an equal partner. The course content and delivery will be more robust and relevant if Industry can influence from their perspective</w:t>
      </w:r>
    </w:p>
    <w:p w14:paraId="12B8B2F9" w14:textId="36EA48BA" w:rsidR="00092FEB" w:rsidRPr="00A918E5" w:rsidRDefault="00092FEB" w:rsidP="00A918E5">
      <w:pPr>
        <w:pStyle w:val="ListParagraph"/>
        <w:numPr>
          <w:ilvl w:val="0"/>
          <w:numId w:val="7"/>
        </w:numPr>
        <w:rPr>
          <w:rFonts w:eastAsiaTheme="minorEastAsia"/>
          <w:color w:val="000000" w:themeColor="text1"/>
        </w:rPr>
      </w:pPr>
      <w:r w:rsidRPr="4EFD7E9A">
        <w:t>Well intended government initiatives fail to resonate with employers if they are perceived to be complex and ever changing</w:t>
      </w:r>
    </w:p>
    <w:p w14:paraId="4383CACC" w14:textId="5106600E" w:rsidR="00D1293B" w:rsidRPr="00D1293B" w:rsidRDefault="00D1293B" w:rsidP="00A918E5">
      <w:pPr>
        <w:pStyle w:val="ListParagraph"/>
        <w:numPr>
          <w:ilvl w:val="0"/>
          <w:numId w:val="7"/>
        </w:numPr>
      </w:pPr>
      <w:r w:rsidRPr="00D1293B">
        <w:t xml:space="preserve">A knowledge exchange approach, rather knowledge transfer, is often more valuable and engaging as demonstrated by the Monitor Farm Scotland programme that aims to give a place-based approach to business development with additional impact quantified </w:t>
      </w:r>
      <w:proofErr w:type="gramStart"/>
      <w:r w:rsidRPr="00D1293B">
        <w:t>as a result of</w:t>
      </w:r>
      <w:proofErr w:type="gramEnd"/>
      <w:r w:rsidRPr="00D1293B">
        <w:t xml:space="preserve"> this approach.  </w:t>
      </w:r>
    </w:p>
    <w:sectPr w:rsidR="00D1293B" w:rsidRPr="00D129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3271" w14:textId="77777777" w:rsidR="0067564F" w:rsidRDefault="0067564F" w:rsidP="00F911CC">
      <w:pPr>
        <w:spacing w:after="0" w:line="240" w:lineRule="auto"/>
      </w:pPr>
      <w:r>
        <w:separator/>
      </w:r>
    </w:p>
  </w:endnote>
  <w:endnote w:type="continuationSeparator" w:id="0">
    <w:p w14:paraId="4121332D" w14:textId="77777777" w:rsidR="0067564F" w:rsidRDefault="0067564F" w:rsidP="00F9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C5A9" w14:textId="77777777" w:rsidR="0067564F" w:rsidRDefault="0067564F" w:rsidP="00F911CC">
      <w:pPr>
        <w:spacing w:after="0" w:line="240" w:lineRule="auto"/>
      </w:pPr>
      <w:r>
        <w:separator/>
      </w:r>
    </w:p>
  </w:footnote>
  <w:footnote w:type="continuationSeparator" w:id="0">
    <w:p w14:paraId="0F506CDD" w14:textId="77777777" w:rsidR="0067564F" w:rsidRDefault="0067564F" w:rsidP="00F911CC">
      <w:pPr>
        <w:spacing w:after="0" w:line="240" w:lineRule="auto"/>
      </w:pPr>
      <w:r>
        <w:continuationSeparator/>
      </w:r>
    </w:p>
  </w:footnote>
  <w:footnote w:id="1">
    <w:p w14:paraId="0400B765" w14:textId="77777777" w:rsidR="005E43CC" w:rsidRPr="00F45723" w:rsidRDefault="005E43CC" w:rsidP="005E43CC">
      <w:pPr>
        <w:pStyle w:val="FootnoteText"/>
        <w:rPr>
          <w:sz w:val="18"/>
          <w:szCs w:val="18"/>
        </w:rPr>
      </w:pPr>
      <w:r w:rsidRPr="00F45723">
        <w:rPr>
          <w:rStyle w:val="FootnoteReference"/>
          <w:sz w:val="18"/>
          <w:szCs w:val="18"/>
        </w:rPr>
        <w:footnoteRef/>
      </w:r>
      <w:r w:rsidRPr="00F45723">
        <w:rPr>
          <w:sz w:val="18"/>
          <w:szCs w:val="18"/>
        </w:rPr>
        <w:t xml:space="preserve"> </w:t>
      </w:r>
      <w:hyperlink r:id="rId1" w:history="1">
        <w:r w:rsidRPr="00062423">
          <w:rPr>
            <w:rStyle w:val="Hyperlink"/>
            <w:sz w:val="18"/>
            <w:szCs w:val="18"/>
          </w:rPr>
          <w:t>https://www.skillsdevelopmentscotland.co.uk/media/43589/fa-l6-food-and-drink-technologies-framework-specification.pdf</w:t>
        </w:r>
      </w:hyperlink>
      <w:r>
        <w:rPr>
          <w:sz w:val="18"/>
          <w:szCs w:val="18"/>
        </w:rPr>
        <w:t xml:space="preserve"> </w:t>
      </w:r>
    </w:p>
  </w:footnote>
  <w:footnote w:id="2">
    <w:p w14:paraId="7C4F1187" w14:textId="77777777" w:rsidR="00F911CC" w:rsidRPr="00F45723" w:rsidRDefault="00F911CC" w:rsidP="00F911CC">
      <w:pPr>
        <w:pStyle w:val="FootnoteText"/>
        <w:rPr>
          <w:rFonts w:eastAsia="Segoe UI" w:cstheme="minorHAnsi"/>
          <w:color w:val="000000" w:themeColor="text1"/>
          <w:sz w:val="18"/>
          <w:szCs w:val="18"/>
        </w:rPr>
      </w:pPr>
      <w:r w:rsidRPr="00F45723">
        <w:rPr>
          <w:rStyle w:val="FootnoteReference"/>
          <w:rFonts w:cstheme="minorHAnsi"/>
          <w:sz w:val="18"/>
          <w:szCs w:val="18"/>
        </w:rPr>
        <w:footnoteRef/>
      </w:r>
      <w:r w:rsidRPr="00F45723">
        <w:rPr>
          <w:rFonts w:cstheme="minorHAnsi"/>
          <w:sz w:val="18"/>
          <w:szCs w:val="18"/>
        </w:rPr>
        <w:t xml:space="preserve"> </w:t>
      </w:r>
      <w:hyperlink r:id="rId2" w:history="1">
        <w:r w:rsidRPr="00062423">
          <w:rPr>
            <w:rStyle w:val="Hyperlink"/>
            <w:rFonts w:eastAsia="Segoe UI" w:cstheme="minorHAnsi"/>
            <w:sz w:val="18"/>
            <w:szCs w:val="18"/>
          </w:rPr>
          <w:t>https://www.skillsdevelopmentscotland.co.uk/media/47336/climate-emergency-skills-action-plan-2020-2025.pdf</w:t>
        </w:r>
      </w:hyperlink>
      <w:r>
        <w:rPr>
          <w:rFonts w:eastAsia="Segoe UI" w:cstheme="minorHAnsi"/>
          <w:color w:val="000000" w:themeColor="text1"/>
          <w:sz w:val="18"/>
          <w:szCs w:val="18"/>
        </w:rPr>
        <w:t xml:space="preserve"> </w:t>
      </w:r>
    </w:p>
  </w:footnote>
  <w:footnote w:id="3">
    <w:p w14:paraId="06E26B5A" w14:textId="77777777" w:rsidR="005E43CC" w:rsidRPr="00AC7031" w:rsidRDefault="005E43CC" w:rsidP="005E43CC">
      <w:pPr>
        <w:pStyle w:val="FootnoteText"/>
        <w:rPr>
          <w:rFonts w:eastAsia="Segoe UI" w:cstheme="minorHAnsi"/>
          <w:color w:val="000000" w:themeColor="text1"/>
          <w:sz w:val="18"/>
          <w:szCs w:val="18"/>
        </w:rPr>
      </w:pPr>
      <w:r w:rsidRPr="00AC7031">
        <w:rPr>
          <w:rStyle w:val="FootnoteReference"/>
          <w:rFonts w:cstheme="minorHAnsi"/>
          <w:sz w:val="18"/>
          <w:szCs w:val="18"/>
        </w:rPr>
        <w:footnoteRef/>
      </w:r>
      <w:r w:rsidRPr="00AC7031">
        <w:rPr>
          <w:rFonts w:cstheme="minorHAnsi"/>
          <w:sz w:val="18"/>
          <w:szCs w:val="18"/>
        </w:rPr>
        <w:t xml:space="preserve"> </w:t>
      </w:r>
      <w:hyperlink r:id="rId3" w:history="1">
        <w:r w:rsidRPr="00AC7031">
          <w:rPr>
            <w:rStyle w:val="Hyperlink"/>
            <w:rFonts w:eastAsia="Segoe UI" w:cstheme="minorHAnsi"/>
            <w:sz w:val="18"/>
            <w:szCs w:val="18"/>
          </w:rPr>
          <w:t>https://www.stemambassadors.scot/</w:t>
        </w:r>
      </w:hyperlink>
      <w:r w:rsidRPr="00AC7031">
        <w:rPr>
          <w:rFonts w:eastAsia="Segoe UI" w:cstheme="minorHAnsi"/>
          <w:color w:val="000000" w:themeColor="text1"/>
          <w:sz w:val="18"/>
          <w:szCs w:val="18"/>
        </w:rPr>
        <w:t xml:space="preserve"> </w:t>
      </w:r>
    </w:p>
  </w:footnote>
  <w:footnote w:id="4">
    <w:p w14:paraId="373D231A" w14:textId="77777777" w:rsidR="005E43CC" w:rsidRPr="00AC7031" w:rsidRDefault="005E43CC" w:rsidP="005E43CC">
      <w:pPr>
        <w:pStyle w:val="FootnoteText"/>
        <w:rPr>
          <w:rFonts w:eastAsia="Segoe UI" w:cstheme="minorHAnsi"/>
          <w:color w:val="000000" w:themeColor="text1"/>
          <w:sz w:val="18"/>
          <w:szCs w:val="18"/>
        </w:rPr>
      </w:pPr>
      <w:r w:rsidRPr="00AC7031">
        <w:rPr>
          <w:rStyle w:val="FootnoteReference"/>
          <w:rFonts w:cstheme="minorHAnsi"/>
          <w:sz w:val="18"/>
          <w:szCs w:val="18"/>
        </w:rPr>
        <w:footnoteRef/>
      </w:r>
      <w:r w:rsidRPr="00AC7031">
        <w:rPr>
          <w:rFonts w:cstheme="minorHAnsi"/>
          <w:sz w:val="18"/>
          <w:szCs w:val="18"/>
        </w:rPr>
        <w:t xml:space="preserve"> </w:t>
      </w:r>
      <w:hyperlink r:id="rId4" w:history="1">
        <w:r w:rsidRPr="00AC7031">
          <w:rPr>
            <w:rStyle w:val="Hyperlink"/>
            <w:rFonts w:eastAsia="Segoe UI" w:cstheme="minorHAnsi"/>
            <w:sz w:val="18"/>
            <w:szCs w:val="18"/>
          </w:rPr>
          <w:t>https://www.rhet.org.uk/teachers/resource-portal/data-4-schools</w:t>
        </w:r>
      </w:hyperlink>
      <w:r w:rsidRPr="00AC7031">
        <w:rPr>
          <w:rFonts w:eastAsia="Segoe UI" w:cstheme="minorHAnsi"/>
          <w:color w:val="000000" w:themeColor="text1"/>
          <w:sz w:val="18"/>
          <w:szCs w:val="18"/>
        </w:rPr>
        <w:t xml:space="preserve"> </w:t>
      </w:r>
    </w:p>
  </w:footnote>
  <w:footnote w:id="5">
    <w:p w14:paraId="3F787A42" w14:textId="77777777" w:rsidR="005E43CC" w:rsidRDefault="005E43CC" w:rsidP="005E43CC">
      <w:pPr>
        <w:pStyle w:val="FootnoteText"/>
        <w:rPr>
          <w:rFonts w:ascii="Segoe UI" w:eastAsia="Segoe UI" w:hAnsi="Segoe UI" w:cs="Segoe UI"/>
          <w:color w:val="000000" w:themeColor="text1"/>
        </w:rPr>
      </w:pPr>
      <w:r w:rsidRPr="00AC7031">
        <w:rPr>
          <w:rStyle w:val="FootnoteReference"/>
          <w:rFonts w:cstheme="minorHAnsi"/>
          <w:sz w:val="18"/>
          <w:szCs w:val="18"/>
        </w:rPr>
        <w:footnoteRef/>
      </w:r>
      <w:r w:rsidRPr="00AC7031">
        <w:rPr>
          <w:rFonts w:cstheme="minorHAnsi"/>
          <w:sz w:val="18"/>
          <w:szCs w:val="18"/>
        </w:rPr>
        <w:t xml:space="preserve"> </w:t>
      </w:r>
      <w:hyperlink r:id="rId5" w:history="1">
        <w:r w:rsidRPr="00AC7031">
          <w:rPr>
            <w:rStyle w:val="Hyperlink"/>
            <w:rFonts w:eastAsia="Segoe UI" w:cstheme="minorHAnsi"/>
            <w:sz w:val="18"/>
            <w:szCs w:val="18"/>
          </w:rPr>
          <w:t>https://www.gov.scot/publications/stem-strategy-education-training-scotland-third-annual-report/documents/</w:t>
        </w:r>
      </w:hyperlink>
      <w:r>
        <w:rPr>
          <w:rFonts w:ascii="Segoe UI" w:eastAsia="Segoe UI" w:hAnsi="Segoe UI" w:cs="Segoe UI"/>
          <w:color w:val="000000" w:themeColor="text1"/>
          <w:sz w:val="18"/>
          <w:szCs w:val="18"/>
        </w:rPr>
        <w:t xml:space="preserve"> </w:t>
      </w:r>
    </w:p>
  </w:footnote>
  <w:footnote w:id="6">
    <w:p w14:paraId="0BF6F957" w14:textId="77777777" w:rsidR="005E43CC" w:rsidRPr="00AC7031" w:rsidRDefault="005E43CC" w:rsidP="005E43CC">
      <w:pPr>
        <w:pStyle w:val="FootnoteText"/>
        <w:rPr>
          <w:rFonts w:eastAsia="Segoe UI" w:cstheme="minorHAnsi"/>
          <w:color w:val="000000" w:themeColor="text1"/>
          <w:sz w:val="18"/>
          <w:szCs w:val="18"/>
        </w:rPr>
      </w:pPr>
      <w:r w:rsidRPr="00AC7031">
        <w:rPr>
          <w:rStyle w:val="FootnoteReference"/>
          <w:rFonts w:cstheme="minorHAnsi"/>
          <w:sz w:val="18"/>
          <w:szCs w:val="18"/>
        </w:rPr>
        <w:footnoteRef/>
      </w:r>
      <w:r w:rsidRPr="00AC7031">
        <w:rPr>
          <w:rFonts w:cstheme="minorHAnsi"/>
          <w:sz w:val="18"/>
          <w:szCs w:val="18"/>
        </w:rPr>
        <w:t xml:space="preserve"> </w:t>
      </w:r>
      <w:hyperlink r:id="rId6" w:history="1">
        <w:r w:rsidRPr="00AC7031">
          <w:rPr>
            <w:rStyle w:val="Hyperlink"/>
            <w:rFonts w:eastAsia="Segoe UI" w:cstheme="minorHAnsi"/>
            <w:sz w:val="18"/>
            <w:szCs w:val="18"/>
          </w:rPr>
          <w:t>https://www.nfuonline.com/archive?treeid=150799</w:t>
        </w:r>
      </w:hyperlink>
      <w:r w:rsidRPr="00AC7031">
        <w:rPr>
          <w:rFonts w:eastAsia="Segoe UI" w:cstheme="minorHAnsi"/>
          <w:color w:val="000000" w:themeColor="text1"/>
          <w:sz w:val="18"/>
          <w:szCs w:val="18"/>
        </w:rPr>
        <w:t xml:space="preserve"> </w:t>
      </w:r>
    </w:p>
  </w:footnote>
  <w:footnote w:id="7">
    <w:p w14:paraId="28722B66" w14:textId="77777777" w:rsidR="005E43CC" w:rsidRDefault="005E43CC" w:rsidP="005E43CC">
      <w:pPr>
        <w:pStyle w:val="FootnoteText"/>
        <w:rPr>
          <w:rFonts w:ascii="Segoe UI" w:eastAsia="Segoe UI" w:hAnsi="Segoe UI" w:cs="Segoe UI"/>
          <w:color w:val="000000" w:themeColor="text1"/>
        </w:rPr>
      </w:pPr>
      <w:r w:rsidRPr="0092459D">
        <w:rPr>
          <w:rStyle w:val="FootnoteReference"/>
          <w:rFonts w:cstheme="minorHAnsi"/>
          <w:sz w:val="18"/>
          <w:szCs w:val="18"/>
        </w:rPr>
        <w:footnoteRef/>
      </w:r>
      <w:r w:rsidRPr="0092459D">
        <w:rPr>
          <w:rFonts w:cstheme="minorHAnsi"/>
          <w:sz w:val="18"/>
          <w:szCs w:val="18"/>
        </w:rPr>
        <w:t xml:space="preserve"> </w:t>
      </w:r>
      <w:hyperlink r:id="rId7" w:history="1">
        <w:r w:rsidRPr="0092459D">
          <w:rPr>
            <w:rStyle w:val="Hyperlink"/>
            <w:rFonts w:eastAsia="Segoe UI" w:cstheme="minorHAnsi"/>
            <w:sz w:val="18"/>
            <w:szCs w:val="18"/>
          </w:rPr>
          <w:t>https://www.foodskills.cymru/food-workforce-wales/</w:t>
        </w:r>
      </w:hyperlink>
      <w:r>
        <w:rPr>
          <w:rFonts w:ascii="Segoe UI" w:eastAsia="Segoe UI" w:hAnsi="Segoe UI" w:cs="Segoe UI"/>
          <w:color w:val="000000" w:themeColor="text1"/>
          <w:sz w:val="18"/>
          <w:szCs w:val="18"/>
        </w:rPr>
        <w:t xml:space="preserve"> </w:t>
      </w:r>
    </w:p>
  </w:footnote>
  <w:footnote w:id="8">
    <w:p w14:paraId="74F80546" w14:textId="77777777" w:rsidR="005E43CC" w:rsidRPr="0092459D" w:rsidRDefault="005E43CC" w:rsidP="005E43CC">
      <w:pPr>
        <w:pStyle w:val="FootnoteText"/>
        <w:rPr>
          <w:rFonts w:eastAsia="Segoe UI" w:cstheme="minorHAnsi"/>
          <w:color w:val="000000" w:themeColor="text1"/>
          <w:sz w:val="18"/>
          <w:szCs w:val="18"/>
        </w:rPr>
      </w:pPr>
      <w:r w:rsidRPr="0092459D">
        <w:rPr>
          <w:rStyle w:val="FootnoteReference"/>
          <w:rFonts w:cstheme="minorHAnsi"/>
          <w:sz w:val="18"/>
          <w:szCs w:val="18"/>
        </w:rPr>
        <w:footnoteRef/>
      </w:r>
      <w:r w:rsidRPr="0092459D">
        <w:rPr>
          <w:rFonts w:cstheme="minorHAnsi"/>
          <w:sz w:val="18"/>
          <w:szCs w:val="18"/>
        </w:rPr>
        <w:t xml:space="preserve"> </w:t>
      </w:r>
      <w:hyperlink r:id="rId8" w:history="1">
        <w:r w:rsidRPr="0092459D">
          <w:rPr>
            <w:rStyle w:val="Hyperlink"/>
            <w:rFonts w:eastAsia="Segoe UI" w:cstheme="minorHAnsi"/>
            <w:sz w:val="18"/>
            <w:szCs w:val="18"/>
          </w:rPr>
          <w:t>https://aitc-canada.ca/en-ca/who-we-are/our-story</w:t>
        </w:r>
      </w:hyperlink>
      <w:r w:rsidRPr="0092459D">
        <w:rPr>
          <w:rFonts w:eastAsia="Segoe UI" w:cstheme="minorHAnsi"/>
          <w:color w:val="000000" w:themeColor="text1"/>
          <w:sz w:val="18"/>
          <w:szCs w:val="18"/>
        </w:rPr>
        <w:t xml:space="preserve"> </w:t>
      </w:r>
    </w:p>
  </w:footnote>
  <w:footnote w:id="9">
    <w:p w14:paraId="69EF42A4" w14:textId="77777777" w:rsidR="005E43CC" w:rsidRDefault="005E43CC" w:rsidP="005E43CC">
      <w:pPr>
        <w:pStyle w:val="FootnoteText"/>
        <w:rPr>
          <w:rFonts w:ascii="Segoe UI" w:eastAsia="Segoe UI" w:hAnsi="Segoe UI" w:cs="Segoe UI"/>
          <w:color w:val="000000" w:themeColor="text1"/>
        </w:rPr>
      </w:pPr>
      <w:r w:rsidRPr="0092459D">
        <w:rPr>
          <w:rStyle w:val="FootnoteReference"/>
          <w:rFonts w:cstheme="minorHAnsi"/>
          <w:sz w:val="18"/>
          <w:szCs w:val="18"/>
        </w:rPr>
        <w:footnoteRef/>
      </w:r>
      <w:r w:rsidRPr="0092459D">
        <w:rPr>
          <w:rFonts w:cstheme="minorHAnsi"/>
          <w:sz w:val="18"/>
          <w:szCs w:val="18"/>
        </w:rPr>
        <w:t xml:space="preserve"> </w:t>
      </w:r>
      <w:hyperlink r:id="rId9" w:history="1">
        <w:r w:rsidRPr="0092459D">
          <w:rPr>
            <w:rStyle w:val="Hyperlink"/>
            <w:rFonts w:eastAsia="Segoe UI" w:cstheme="minorHAnsi"/>
            <w:sz w:val="18"/>
            <w:szCs w:val="18"/>
          </w:rPr>
          <w:t>https://aitc-canada.ca/Portals/0/documents/National%20Impact%20Framework/AITC-C_Impact_Framework_Report2021.pdf?ver=2021-02-09-202536-573&amp;timestamp=1612920717445</w:t>
        </w:r>
      </w:hyperlink>
      <w:r>
        <w:rPr>
          <w:rFonts w:ascii="Segoe UI" w:eastAsia="Segoe UI" w:hAnsi="Segoe UI" w:cs="Segoe UI"/>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65D75"/>
    <w:multiLevelType w:val="hybridMultilevel"/>
    <w:tmpl w:val="46F0FB6A"/>
    <w:lvl w:ilvl="0" w:tplc="C56086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61D39"/>
    <w:multiLevelType w:val="hybridMultilevel"/>
    <w:tmpl w:val="8968F752"/>
    <w:lvl w:ilvl="0" w:tplc="C56086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E7D4B"/>
    <w:multiLevelType w:val="hybridMultilevel"/>
    <w:tmpl w:val="24F8C9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36271"/>
    <w:multiLevelType w:val="hybridMultilevel"/>
    <w:tmpl w:val="FFFFFFFF"/>
    <w:lvl w:ilvl="0" w:tplc="EF46E73A">
      <w:start w:val="1"/>
      <w:numFmt w:val="bullet"/>
      <w:lvlText w:val="-"/>
      <w:lvlJc w:val="left"/>
      <w:pPr>
        <w:ind w:left="360" w:hanging="360"/>
      </w:pPr>
      <w:rPr>
        <w:rFonts w:ascii="Calibri" w:hAnsi="Calibri" w:hint="default"/>
      </w:rPr>
    </w:lvl>
    <w:lvl w:ilvl="1" w:tplc="4F641778">
      <w:start w:val="1"/>
      <w:numFmt w:val="bullet"/>
      <w:lvlText w:val="o"/>
      <w:lvlJc w:val="left"/>
      <w:pPr>
        <w:ind w:left="1080" w:hanging="360"/>
      </w:pPr>
      <w:rPr>
        <w:rFonts w:ascii="Courier New" w:hAnsi="Courier New" w:hint="default"/>
      </w:rPr>
    </w:lvl>
    <w:lvl w:ilvl="2" w:tplc="9EB0325C">
      <w:start w:val="1"/>
      <w:numFmt w:val="bullet"/>
      <w:lvlText w:val=""/>
      <w:lvlJc w:val="left"/>
      <w:pPr>
        <w:ind w:left="1800" w:hanging="360"/>
      </w:pPr>
      <w:rPr>
        <w:rFonts w:ascii="Wingdings" w:hAnsi="Wingdings" w:hint="default"/>
      </w:rPr>
    </w:lvl>
    <w:lvl w:ilvl="3" w:tplc="539C0FE8">
      <w:start w:val="1"/>
      <w:numFmt w:val="bullet"/>
      <w:lvlText w:val=""/>
      <w:lvlJc w:val="left"/>
      <w:pPr>
        <w:ind w:left="2520" w:hanging="360"/>
      </w:pPr>
      <w:rPr>
        <w:rFonts w:ascii="Symbol" w:hAnsi="Symbol" w:hint="default"/>
      </w:rPr>
    </w:lvl>
    <w:lvl w:ilvl="4" w:tplc="A358EA90">
      <w:start w:val="1"/>
      <w:numFmt w:val="bullet"/>
      <w:lvlText w:val="o"/>
      <w:lvlJc w:val="left"/>
      <w:pPr>
        <w:ind w:left="3240" w:hanging="360"/>
      </w:pPr>
      <w:rPr>
        <w:rFonts w:ascii="Courier New" w:hAnsi="Courier New" w:hint="default"/>
      </w:rPr>
    </w:lvl>
    <w:lvl w:ilvl="5" w:tplc="1C94AF78">
      <w:start w:val="1"/>
      <w:numFmt w:val="bullet"/>
      <w:lvlText w:val=""/>
      <w:lvlJc w:val="left"/>
      <w:pPr>
        <w:ind w:left="3960" w:hanging="360"/>
      </w:pPr>
      <w:rPr>
        <w:rFonts w:ascii="Wingdings" w:hAnsi="Wingdings" w:hint="default"/>
      </w:rPr>
    </w:lvl>
    <w:lvl w:ilvl="6" w:tplc="050E6DF8">
      <w:start w:val="1"/>
      <w:numFmt w:val="bullet"/>
      <w:lvlText w:val=""/>
      <w:lvlJc w:val="left"/>
      <w:pPr>
        <w:ind w:left="4680" w:hanging="360"/>
      </w:pPr>
      <w:rPr>
        <w:rFonts w:ascii="Symbol" w:hAnsi="Symbol" w:hint="default"/>
      </w:rPr>
    </w:lvl>
    <w:lvl w:ilvl="7" w:tplc="5838C95C">
      <w:start w:val="1"/>
      <w:numFmt w:val="bullet"/>
      <w:lvlText w:val="o"/>
      <w:lvlJc w:val="left"/>
      <w:pPr>
        <w:ind w:left="5400" w:hanging="360"/>
      </w:pPr>
      <w:rPr>
        <w:rFonts w:ascii="Courier New" w:hAnsi="Courier New" w:hint="default"/>
      </w:rPr>
    </w:lvl>
    <w:lvl w:ilvl="8" w:tplc="55F2788E">
      <w:start w:val="1"/>
      <w:numFmt w:val="bullet"/>
      <w:lvlText w:val=""/>
      <w:lvlJc w:val="left"/>
      <w:pPr>
        <w:ind w:left="6120" w:hanging="360"/>
      </w:pPr>
      <w:rPr>
        <w:rFonts w:ascii="Wingdings" w:hAnsi="Wingdings" w:hint="default"/>
      </w:rPr>
    </w:lvl>
  </w:abstractNum>
  <w:abstractNum w:abstractNumId="4" w15:restartNumberingAfterBreak="0">
    <w:nsid w:val="55031A6B"/>
    <w:multiLevelType w:val="hybridMultilevel"/>
    <w:tmpl w:val="B25E50C2"/>
    <w:lvl w:ilvl="0" w:tplc="C56086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D3542"/>
    <w:multiLevelType w:val="hybridMultilevel"/>
    <w:tmpl w:val="FFFFFFFF"/>
    <w:lvl w:ilvl="0" w:tplc="D466EA74">
      <w:start w:val="1"/>
      <w:numFmt w:val="bullet"/>
      <w:lvlText w:val=""/>
      <w:lvlJc w:val="left"/>
      <w:pPr>
        <w:ind w:left="720" w:hanging="360"/>
      </w:pPr>
      <w:rPr>
        <w:rFonts w:ascii="Symbol" w:hAnsi="Symbol" w:hint="default"/>
      </w:rPr>
    </w:lvl>
    <w:lvl w:ilvl="1" w:tplc="12943E16">
      <w:start w:val="1"/>
      <w:numFmt w:val="bullet"/>
      <w:lvlText w:val="o"/>
      <w:lvlJc w:val="left"/>
      <w:pPr>
        <w:ind w:left="1440" w:hanging="360"/>
      </w:pPr>
      <w:rPr>
        <w:rFonts w:ascii="Courier New" w:hAnsi="Courier New" w:hint="default"/>
      </w:rPr>
    </w:lvl>
    <w:lvl w:ilvl="2" w:tplc="626A0404">
      <w:start w:val="1"/>
      <w:numFmt w:val="bullet"/>
      <w:lvlText w:val=""/>
      <w:lvlJc w:val="left"/>
      <w:pPr>
        <w:ind w:left="2160" w:hanging="360"/>
      </w:pPr>
      <w:rPr>
        <w:rFonts w:ascii="Wingdings" w:hAnsi="Wingdings" w:hint="default"/>
      </w:rPr>
    </w:lvl>
    <w:lvl w:ilvl="3" w:tplc="50F4320C">
      <w:start w:val="1"/>
      <w:numFmt w:val="bullet"/>
      <w:lvlText w:val=""/>
      <w:lvlJc w:val="left"/>
      <w:pPr>
        <w:ind w:left="2880" w:hanging="360"/>
      </w:pPr>
      <w:rPr>
        <w:rFonts w:ascii="Symbol" w:hAnsi="Symbol" w:hint="default"/>
      </w:rPr>
    </w:lvl>
    <w:lvl w:ilvl="4" w:tplc="6DD04952">
      <w:start w:val="1"/>
      <w:numFmt w:val="bullet"/>
      <w:lvlText w:val="o"/>
      <w:lvlJc w:val="left"/>
      <w:pPr>
        <w:ind w:left="3600" w:hanging="360"/>
      </w:pPr>
      <w:rPr>
        <w:rFonts w:ascii="Courier New" w:hAnsi="Courier New" w:hint="default"/>
      </w:rPr>
    </w:lvl>
    <w:lvl w:ilvl="5" w:tplc="36303058">
      <w:start w:val="1"/>
      <w:numFmt w:val="bullet"/>
      <w:lvlText w:val=""/>
      <w:lvlJc w:val="left"/>
      <w:pPr>
        <w:ind w:left="4320" w:hanging="360"/>
      </w:pPr>
      <w:rPr>
        <w:rFonts w:ascii="Wingdings" w:hAnsi="Wingdings" w:hint="default"/>
      </w:rPr>
    </w:lvl>
    <w:lvl w:ilvl="6" w:tplc="2BF26BB0">
      <w:start w:val="1"/>
      <w:numFmt w:val="bullet"/>
      <w:lvlText w:val=""/>
      <w:lvlJc w:val="left"/>
      <w:pPr>
        <w:ind w:left="5040" w:hanging="360"/>
      </w:pPr>
      <w:rPr>
        <w:rFonts w:ascii="Symbol" w:hAnsi="Symbol" w:hint="default"/>
      </w:rPr>
    </w:lvl>
    <w:lvl w:ilvl="7" w:tplc="B734F05C">
      <w:start w:val="1"/>
      <w:numFmt w:val="bullet"/>
      <w:lvlText w:val="o"/>
      <w:lvlJc w:val="left"/>
      <w:pPr>
        <w:ind w:left="5760" w:hanging="360"/>
      </w:pPr>
      <w:rPr>
        <w:rFonts w:ascii="Courier New" w:hAnsi="Courier New" w:hint="default"/>
      </w:rPr>
    </w:lvl>
    <w:lvl w:ilvl="8" w:tplc="A5B8FD5A">
      <w:start w:val="1"/>
      <w:numFmt w:val="bullet"/>
      <w:lvlText w:val=""/>
      <w:lvlJc w:val="left"/>
      <w:pPr>
        <w:ind w:left="6480" w:hanging="360"/>
      </w:pPr>
      <w:rPr>
        <w:rFonts w:ascii="Wingdings" w:hAnsi="Wingdings" w:hint="default"/>
      </w:rPr>
    </w:lvl>
  </w:abstractNum>
  <w:abstractNum w:abstractNumId="6" w15:restartNumberingAfterBreak="0">
    <w:nsid w:val="69C75492"/>
    <w:multiLevelType w:val="hybridMultilevel"/>
    <w:tmpl w:val="FFFFFFFF"/>
    <w:lvl w:ilvl="0" w:tplc="53DC996E">
      <w:start w:val="1"/>
      <w:numFmt w:val="decimal"/>
      <w:lvlText w:val="%1."/>
      <w:lvlJc w:val="left"/>
      <w:pPr>
        <w:ind w:left="360" w:hanging="360"/>
      </w:pPr>
    </w:lvl>
    <w:lvl w:ilvl="1" w:tplc="7F9ABBC0">
      <w:start w:val="1"/>
      <w:numFmt w:val="lowerLetter"/>
      <w:lvlText w:val="%2."/>
      <w:lvlJc w:val="left"/>
      <w:pPr>
        <w:ind w:left="1080" w:hanging="360"/>
      </w:pPr>
    </w:lvl>
    <w:lvl w:ilvl="2" w:tplc="32E84FBC">
      <w:start w:val="1"/>
      <w:numFmt w:val="lowerRoman"/>
      <w:lvlText w:val="%3."/>
      <w:lvlJc w:val="right"/>
      <w:pPr>
        <w:ind w:left="1800" w:hanging="180"/>
      </w:pPr>
    </w:lvl>
    <w:lvl w:ilvl="3" w:tplc="47DC4058">
      <w:start w:val="1"/>
      <w:numFmt w:val="decimal"/>
      <w:lvlText w:val="%4."/>
      <w:lvlJc w:val="left"/>
      <w:pPr>
        <w:ind w:left="2520" w:hanging="360"/>
      </w:pPr>
    </w:lvl>
    <w:lvl w:ilvl="4" w:tplc="C7080180">
      <w:start w:val="1"/>
      <w:numFmt w:val="lowerLetter"/>
      <w:lvlText w:val="%5."/>
      <w:lvlJc w:val="left"/>
      <w:pPr>
        <w:ind w:left="3240" w:hanging="360"/>
      </w:pPr>
    </w:lvl>
    <w:lvl w:ilvl="5" w:tplc="D6564A54">
      <w:start w:val="1"/>
      <w:numFmt w:val="lowerRoman"/>
      <w:lvlText w:val="%6."/>
      <w:lvlJc w:val="right"/>
      <w:pPr>
        <w:ind w:left="3960" w:hanging="180"/>
      </w:pPr>
    </w:lvl>
    <w:lvl w:ilvl="6" w:tplc="CA34B680">
      <w:start w:val="1"/>
      <w:numFmt w:val="decimal"/>
      <w:lvlText w:val="%7."/>
      <w:lvlJc w:val="left"/>
      <w:pPr>
        <w:ind w:left="4680" w:hanging="360"/>
      </w:pPr>
    </w:lvl>
    <w:lvl w:ilvl="7" w:tplc="BBBCB440">
      <w:start w:val="1"/>
      <w:numFmt w:val="lowerLetter"/>
      <w:lvlText w:val="%8."/>
      <w:lvlJc w:val="left"/>
      <w:pPr>
        <w:ind w:left="5400" w:hanging="360"/>
      </w:pPr>
    </w:lvl>
    <w:lvl w:ilvl="8" w:tplc="9F76F412">
      <w:start w:val="1"/>
      <w:numFmt w:val="lowerRoman"/>
      <w:lvlText w:val="%9."/>
      <w:lvlJc w:val="right"/>
      <w:pPr>
        <w:ind w:left="6120" w:hanging="180"/>
      </w:pPr>
    </w:lvl>
  </w:abstractNum>
  <w:num w:numId="1" w16cid:durableId="348945632">
    <w:abstractNumId w:val="4"/>
  </w:num>
  <w:num w:numId="2" w16cid:durableId="1581409290">
    <w:abstractNumId w:val="1"/>
  </w:num>
  <w:num w:numId="3" w16cid:durableId="279841579">
    <w:abstractNumId w:val="2"/>
  </w:num>
  <w:num w:numId="4" w16cid:durableId="763501853">
    <w:abstractNumId w:val="5"/>
  </w:num>
  <w:num w:numId="5" w16cid:durableId="1262226197">
    <w:abstractNumId w:val="6"/>
  </w:num>
  <w:num w:numId="6" w16cid:durableId="552623418">
    <w:abstractNumId w:val="3"/>
  </w:num>
  <w:num w:numId="7" w16cid:durableId="168574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CC"/>
    <w:rsid w:val="00092FEB"/>
    <w:rsid w:val="00560402"/>
    <w:rsid w:val="005E43CC"/>
    <w:rsid w:val="0067564F"/>
    <w:rsid w:val="007B63E7"/>
    <w:rsid w:val="008259E0"/>
    <w:rsid w:val="008A3525"/>
    <w:rsid w:val="00A73C5C"/>
    <w:rsid w:val="00A918E5"/>
    <w:rsid w:val="00A93AB9"/>
    <w:rsid w:val="00B87489"/>
    <w:rsid w:val="00CB4AAB"/>
    <w:rsid w:val="00D1293B"/>
    <w:rsid w:val="00F9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F8F3"/>
  <w15:chartTrackingRefBased/>
  <w15:docId w15:val="{2D99759B-AB0D-4153-B2AC-734CD275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1CC"/>
    <w:rPr>
      <w:color w:val="0563C1" w:themeColor="hyperlink"/>
      <w:u w:val="single"/>
    </w:rPr>
  </w:style>
  <w:style w:type="character" w:styleId="UnresolvedMention">
    <w:name w:val="Unresolved Mention"/>
    <w:basedOn w:val="DefaultParagraphFont"/>
    <w:uiPriority w:val="99"/>
    <w:semiHidden/>
    <w:unhideWhenUsed/>
    <w:rsid w:val="00F911CC"/>
    <w:rPr>
      <w:color w:val="605E5C"/>
      <w:shd w:val="clear" w:color="auto" w:fill="E1DFDD"/>
    </w:rPr>
  </w:style>
  <w:style w:type="character" w:customStyle="1" w:styleId="eop">
    <w:name w:val="eop"/>
    <w:basedOn w:val="DefaultParagraphFont"/>
    <w:rsid w:val="00F911CC"/>
  </w:style>
  <w:style w:type="character" w:styleId="FootnoteReference">
    <w:name w:val="footnote reference"/>
    <w:basedOn w:val="DefaultParagraphFont"/>
    <w:uiPriority w:val="99"/>
    <w:semiHidden/>
    <w:unhideWhenUsed/>
    <w:rsid w:val="00F911CC"/>
    <w:rPr>
      <w:vertAlign w:val="superscript"/>
    </w:rPr>
  </w:style>
  <w:style w:type="character" w:customStyle="1" w:styleId="FootnoteTextChar">
    <w:name w:val="Footnote Text Char"/>
    <w:basedOn w:val="DefaultParagraphFont"/>
    <w:link w:val="FootnoteText"/>
    <w:uiPriority w:val="99"/>
    <w:semiHidden/>
    <w:rsid w:val="00F911CC"/>
    <w:rPr>
      <w:sz w:val="20"/>
      <w:szCs w:val="20"/>
    </w:rPr>
  </w:style>
  <w:style w:type="paragraph" w:styleId="FootnoteText">
    <w:name w:val="footnote text"/>
    <w:basedOn w:val="Normal"/>
    <w:link w:val="FootnoteTextChar"/>
    <w:uiPriority w:val="99"/>
    <w:semiHidden/>
    <w:unhideWhenUsed/>
    <w:rsid w:val="00F911CC"/>
    <w:pPr>
      <w:spacing w:after="0" w:line="240" w:lineRule="auto"/>
    </w:pPr>
    <w:rPr>
      <w:sz w:val="20"/>
      <w:szCs w:val="20"/>
    </w:rPr>
  </w:style>
  <w:style w:type="character" w:customStyle="1" w:styleId="FootnoteTextChar1">
    <w:name w:val="Footnote Text Char1"/>
    <w:basedOn w:val="DefaultParagraphFont"/>
    <w:uiPriority w:val="99"/>
    <w:semiHidden/>
    <w:rsid w:val="00F911CC"/>
    <w:rPr>
      <w:sz w:val="20"/>
      <w:szCs w:val="20"/>
    </w:rPr>
  </w:style>
  <w:style w:type="paragraph" w:styleId="ListParagraph">
    <w:name w:val="List Paragraph"/>
    <w:basedOn w:val="Normal"/>
    <w:uiPriority w:val="34"/>
    <w:qFormat/>
    <w:rsid w:val="00F911CC"/>
    <w:pPr>
      <w:ind w:left="720"/>
      <w:contextualSpacing/>
    </w:pPr>
  </w:style>
  <w:style w:type="character" w:styleId="Strong">
    <w:name w:val="Strong"/>
    <w:basedOn w:val="DefaultParagraphFont"/>
    <w:uiPriority w:val="22"/>
    <w:qFormat/>
    <w:rsid w:val="00A91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qmscotland.co.uk/sites/default/files/scottish_red_meat_resilience_group_skills_and_education_position_paper_june_22.pd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aitc-canada.ca/en-ca/who-we-are/our-story" TargetMode="External"/><Relationship Id="rId3" Type="http://schemas.openxmlformats.org/officeDocument/2006/relationships/hyperlink" Target="https://www.stemambassadors.scot/" TargetMode="External"/><Relationship Id="rId7" Type="http://schemas.openxmlformats.org/officeDocument/2006/relationships/hyperlink" Target="https://www.foodskills.cymru/food-workforce-wales/" TargetMode="External"/><Relationship Id="rId2" Type="http://schemas.openxmlformats.org/officeDocument/2006/relationships/hyperlink" Target="https://www.skillsdevelopmentscotland.co.uk/media/47336/climate-emergency-skills-action-plan-2020-2025.pdf" TargetMode="External"/><Relationship Id="rId1" Type="http://schemas.openxmlformats.org/officeDocument/2006/relationships/hyperlink" Target="https://www.skillsdevelopmentscotland.co.uk/media/43589/fa-l6-food-and-drink-technologies-framework-specification.pdf" TargetMode="External"/><Relationship Id="rId6" Type="http://schemas.openxmlformats.org/officeDocument/2006/relationships/hyperlink" Target="https://www.nfuonline.com/archive?treeid=150799" TargetMode="External"/><Relationship Id="rId5" Type="http://schemas.openxmlformats.org/officeDocument/2006/relationships/hyperlink" Target="https://www.gov.scot/publications/stem-strategy-education-training-scotland-third-annual-report/documents/" TargetMode="External"/><Relationship Id="rId4" Type="http://schemas.openxmlformats.org/officeDocument/2006/relationships/hyperlink" Target="https://www.rhet.org.uk/teachers/resource-portal/data-4-schools" TargetMode="External"/><Relationship Id="rId9" Type="http://schemas.openxmlformats.org/officeDocument/2006/relationships/hyperlink" Target="https://aitc-canada.ca/Portals/0/documents/National%20Impact%20Framework/AITC-C_Impact_Framework_Report2021.pdf?ver=2021-02-09-202536-573&amp;timestamp=1612920717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3f5b8-f328-40cf-8bb8-906d17712fd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154F6-6AC7-4423-8178-CF0754223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A569B-FA31-4378-A8B6-21E64A42D67A}">
  <ds:schemaRefs>
    <ds:schemaRef ds:uri="http://schemas.microsoft.com/sharepoint/v3/contenttype/forms"/>
  </ds:schemaRefs>
</ds:datastoreItem>
</file>

<file path=customXml/itemProps3.xml><?xml version="1.0" encoding="utf-8"?>
<ds:datastoreItem xmlns:ds="http://schemas.openxmlformats.org/officeDocument/2006/customXml" ds:itemID="{0760CF83-6556-415F-8E48-FA99BE56E86B}">
  <ds:schemaRefs>
    <ds:schemaRef ds:uri="http://schemas.microsoft.com/office/2006/documentManagement/types"/>
    <ds:schemaRef ds:uri="b4194e61-a774-45a8-a2b2-bff23675cb6d"/>
    <ds:schemaRef ds:uri="7293f5b8-f328-40cf-8bb8-906d17712fd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2</cp:revision>
  <dcterms:created xsi:type="dcterms:W3CDTF">2023-01-10T22:48:00Z</dcterms:created>
  <dcterms:modified xsi:type="dcterms:W3CDTF">2023-01-10T22:48:00Z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