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C774" w14:textId="77CC8978" w:rsidR="00887E35" w:rsidRPr="00C04B6F" w:rsidRDefault="0006753A" w:rsidP="00887E35">
      <w:pPr>
        <w:spacing w:after="0"/>
        <w:rPr>
          <w:rFonts w:ascii="Arial" w:hAnsi="Arial" w:cs="Arial"/>
          <w:color w:val="1F3864" w:themeColor="accent1" w:themeShade="80"/>
          <w:sz w:val="18"/>
          <w:szCs w:val="18"/>
        </w:rPr>
      </w:pPr>
      <w:r w:rsidRPr="00C04B6F">
        <w:rPr>
          <w:rFonts w:ascii="Arial" w:hAnsi="Arial" w:cs="Arial"/>
          <w:noProof/>
          <w:color w:val="1F3864" w:themeColor="accent1" w:themeShade="80"/>
          <w:sz w:val="18"/>
          <w:szCs w:val="18"/>
        </w:rPr>
        <w:drawing>
          <wp:anchor distT="0" distB="0" distL="114300" distR="114300" simplePos="0" relativeHeight="251658752" behindDoc="1" locked="0" layoutInCell="1" allowOverlap="1" wp14:anchorId="7F1BB0C3" wp14:editId="7F615813">
            <wp:simplePos x="0" y="0"/>
            <wp:positionH relativeFrom="margin">
              <wp:align>right</wp:align>
            </wp:positionH>
            <wp:positionV relativeFrom="paragraph">
              <wp:posOffset>0</wp:posOffset>
            </wp:positionV>
            <wp:extent cx="1673225" cy="748030"/>
            <wp:effectExtent l="0" t="0" r="3175" b="0"/>
            <wp:wrapTight wrapText="bothSides">
              <wp:wrapPolygon edited="0">
                <wp:start x="1476" y="0"/>
                <wp:lineTo x="0" y="3301"/>
                <wp:lineTo x="0" y="20353"/>
                <wp:lineTo x="738" y="20903"/>
                <wp:lineTo x="5656" y="20903"/>
                <wp:lineTo x="7132" y="20903"/>
                <wp:lineTo x="21395" y="20903"/>
                <wp:lineTo x="21395" y="550"/>
                <wp:lineTo x="21149" y="0"/>
                <wp:lineTo x="14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322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E35" w:rsidRPr="00C04B6F">
        <w:rPr>
          <w:rFonts w:ascii="Arial" w:hAnsi="Arial" w:cs="Arial"/>
          <w:color w:val="1F3864" w:themeColor="accent1" w:themeShade="80"/>
          <w:sz w:val="18"/>
          <w:szCs w:val="18"/>
        </w:rPr>
        <w:t xml:space="preserve">The Rural Centre, </w:t>
      </w:r>
      <w:proofErr w:type="spellStart"/>
      <w:r w:rsidR="00887E35" w:rsidRPr="00C04B6F">
        <w:rPr>
          <w:rFonts w:ascii="Arial" w:hAnsi="Arial" w:cs="Arial"/>
          <w:color w:val="1F3864" w:themeColor="accent1" w:themeShade="80"/>
          <w:sz w:val="18"/>
          <w:szCs w:val="18"/>
        </w:rPr>
        <w:t>Ingliston</w:t>
      </w:r>
      <w:proofErr w:type="spellEnd"/>
    </w:p>
    <w:p w14:paraId="30B56B41" w14:textId="42C35E11" w:rsidR="00887E35" w:rsidRPr="00C04B6F" w:rsidRDefault="00887E35" w:rsidP="00887E3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Newbridge, Midlothian, EH28 8NZ</w:t>
      </w:r>
    </w:p>
    <w:p w14:paraId="6FA0DBD3" w14:textId="77777777" w:rsidR="00887E35" w:rsidRPr="00C04B6F" w:rsidRDefault="00887E35" w:rsidP="00887E35">
      <w:pPr>
        <w:spacing w:after="0"/>
        <w:rPr>
          <w:rFonts w:ascii="Arial" w:hAnsi="Arial" w:cs="Arial"/>
          <w:color w:val="1F3864" w:themeColor="accent1" w:themeShade="80"/>
          <w:sz w:val="10"/>
          <w:szCs w:val="10"/>
        </w:rPr>
      </w:pPr>
    </w:p>
    <w:p w14:paraId="0ECC6A09" w14:textId="18FCC6DA" w:rsidR="0006753A"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Tel: 0131 510 7920</w:t>
      </w:r>
    </w:p>
    <w:p w14:paraId="346551D8" w14:textId="7D5D487B" w:rsidR="00887E35"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Email: </w:t>
      </w:r>
      <w:r w:rsidR="00C04B6F">
        <w:rPr>
          <w:rFonts w:ascii="Arial" w:hAnsi="Arial" w:cs="Arial"/>
          <w:color w:val="1F3864" w:themeColor="accent1" w:themeShade="80"/>
          <w:sz w:val="18"/>
          <w:szCs w:val="18"/>
        </w:rPr>
        <w:t>info@qmscotland.co.uk</w:t>
      </w:r>
    </w:p>
    <w:p w14:paraId="6C929B66" w14:textId="7DD0D825" w:rsidR="00C04B6F" w:rsidRPr="00C04B6F" w:rsidRDefault="00C04B6F"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www.qmscotland.co.uk</w:t>
      </w:r>
    </w:p>
    <w:p w14:paraId="54F0C280" w14:textId="33628B08" w:rsidR="00887E35" w:rsidRDefault="00887E35"/>
    <w:p w14:paraId="4431C58B" w14:textId="013E685D" w:rsidR="00334B08" w:rsidRPr="00334B08" w:rsidRDefault="00334B08" w:rsidP="00334B08">
      <w:pPr>
        <w:spacing w:after="0" w:line="240" w:lineRule="auto"/>
        <w:jc w:val="center"/>
        <w:rPr>
          <w:rFonts w:ascii="Tahoma" w:hAnsi="Tahoma"/>
          <w:b/>
          <w:bCs/>
          <w:sz w:val="40"/>
          <w:szCs w:val="40"/>
        </w:rPr>
      </w:pPr>
      <w:r w:rsidRPr="00334B08">
        <w:rPr>
          <w:rFonts w:ascii="Tahoma" w:hAnsi="Tahoma"/>
          <w:b/>
          <w:bCs/>
          <w:sz w:val="40"/>
          <w:szCs w:val="40"/>
        </w:rPr>
        <w:t>QMS Briefing</w:t>
      </w:r>
    </w:p>
    <w:p w14:paraId="447431D9" w14:textId="77777777" w:rsidR="00334B08" w:rsidRPr="00334B08" w:rsidRDefault="00334B08" w:rsidP="00334B08">
      <w:pPr>
        <w:spacing w:after="0" w:line="240" w:lineRule="auto"/>
        <w:jc w:val="center"/>
        <w:rPr>
          <w:rFonts w:ascii="Tahoma" w:hAnsi="Tahoma"/>
          <w:b/>
          <w:bCs/>
        </w:rPr>
      </w:pPr>
    </w:p>
    <w:p w14:paraId="38A92F32" w14:textId="77777777" w:rsidR="00334B08" w:rsidRPr="00334B08" w:rsidRDefault="00334B08" w:rsidP="00334B08">
      <w:pPr>
        <w:spacing w:after="0" w:line="240" w:lineRule="auto"/>
        <w:jc w:val="center"/>
        <w:rPr>
          <w:rFonts w:ascii="Tahoma" w:hAnsi="Tahoma"/>
          <w:b/>
          <w:bCs/>
        </w:rPr>
      </w:pPr>
    </w:p>
    <w:p w14:paraId="4D845114" w14:textId="58A0C6F6" w:rsidR="00334B08" w:rsidRPr="00334B08" w:rsidRDefault="00334B08" w:rsidP="00334B08">
      <w:pPr>
        <w:spacing w:after="0" w:line="240" w:lineRule="auto"/>
        <w:rPr>
          <w:rFonts w:ascii="Tahoma" w:hAnsi="Tahoma"/>
        </w:rPr>
      </w:pPr>
      <w:r w:rsidRPr="00334B08">
        <w:rPr>
          <w:rFonts w:ascii="Tahoma" w:hAnsi="Tahoma"/>
          <w:b/>
          <w:bCs/>
        </w:rPr>
        <w:t>Purpose:</w:t>
      </w:r>
      <w:r w:rsidRPr="00334B08">
        <w:rPr>
          <w:rFonts w:ascii="Tahoma" w:hAnsi="Tahoma"/>
        </w:rPr>
        <w:t xml:space="preserve"> </w:t>
      </w:r>
      <w:bookmarkStart w:id="0" w:name="_Hlk49258911"/>
      <w:r w:rsidR="00014014">
        <w:rPr>
          <w:rFonts w:ascii="Tahoma" w:hAnsi="Tahoma"/>
          <w:i/>
          <w:iCs/>
        </w:rPr>
        <w:t xml:space="preserve">QMS response to </w:t>
      </w:r>
      <w:proofErr w:type="spellStart"/>
      <w:r w:rsidR="00014014">
        <w:rPr>
          <w:rFonts w:ascii="Tahoma" w:hAnsi="Tahoma"/>
          <w:i/>
          <w:iCs/>
        </w:rPr>
        <w:t>ScotGov</w:t>
      </w:r>
      <w:proofErr w:type="spellEnd"/>
      <w:r w:rsidR="00014014">
        <w:rPr>
          <w:rFonts w:ascii="Tahoma" w:hAnsi="Tahoma"/>
          <w:i/>
          <w:iCs/>
        </w:rPr>
        <w:t xml:space="preserve"> Agricultural Support </w:t>
      </w:r>
      <w:r w:rsidR="00C6799A">
        <w:rPr>
          <w:rFonts w:ascii="Tahoma" w:hAnsi="Tahoma"/>
          <w:i/>
          <w:iCs/>
        </w:rPr>
        <w:t>Consultation</w:t>
      </w:r>
    </w:p>
    <w:bookmarkEnd w:id="0"/>
    <w:p w14:paraId="682743C8" w14:textId="77777777" w:rsidR="00334B08" w:rsidRPr="00334B08" w:rsidRDefault="00334B08" w:rsidP="00334B08">
      <w:pPr>
        <w:spacing w:after="0" w:line="240" w:lineRule="auto"/>
        <w:rPr>
          <w:rFonts w:ascii="Tahoma" w:hAnsi="Tahoma"/>
        </w:rPr>
      </w:pPr>
      <w:r w:rsidRPr="00334B08">
        <w:rPr>
          <w:rFonts w:ascii="Tahoma" w:hAnsi="Tahoma"/>
          <w:b/>
          <w:bCs/>
        </w:rPr>
        <w:t>Prepared By</w:t>
      </w:r>
      <w:r w:rsidRPr="00334B08">
        <w:rPr>
          <w:rFonts w:ascii="Tahoma" w:hAnsi="Tahoma"/>
        </w:rPr>
        <w:t xml:space="preserve">: Sarah Millar Director of Market Intelligence and External Affairs </w:t>
      </w:r>
    </w:p>
    <w:p w14:paraId="45602F7D" w14:textId="77777777" w:rsidR="00334B08" w:rsidRPr="00334B08" w:rsidRDefault="00334B08" w:rsidP="00334B08">
      <w:pPr>
        <w:spacing w:after="0" w:line="240" w:lineRule="auto"/>
        <w:rPr>
          <w:rFonts w:ascii="Tahoma" w:hAnsi="Tahoma"/>
        </w:rPr>
      </w:pPr>
      <w:r w:rsidRPr="00334B08">
        <w:rPr>
          <w:rFonts w:ascii="Tahoma" w:hAnsi="Tahoma"/>
          <w:b/>
          <w:bCs/>
        </w:rPr>
        <w:t>Contact:</w:t>
      </w:r>
      <w:r w:rsidRPr="00334B08">
        <w:rPr>
          <w:rFonts w:ascii="Tahoma" w:hAnsi="Tahoma"/>
        </w:rPr>
        <w:t xml:space="preserve"> smillar@qmscotland.co.uk</w:t>
      </w:r>
    </w:p>
    <w:p w14:paraId="160AB477" w14:textId="52D86FA3" w:rsidR="00334B08" w:rsidRPr="00334B08" w:rsidRDefault="00334B08" w:rsidP="00334B08">
      <w:pPr>
        <w:spacing w:after="0" w:line="240" w:lineRule="auto"/>
        <w:rPr>
          <w:rFonts w:ascii="Tahoma" w:hAnsi="Tahoma"/>
        </w:rPr>
      </w:pPr>
      <w:r w:rsidRPr="00334B08">
        <w:rPr>
          <w:rFonts w:ascii="Tahoma" w:hAnsi="Tahoma"/>
          <w:b/>
          <w:bCs/>
        </w:rPr>
        <w:t>Date:</w:t>
      </w:r>
      <w:r w:rsidRPr="00334B08">
        <w:rPr>
          <w:rFonts w:ascii="Tahoma" w:hAnsi="Tahoma"/>
        </w:rPr>
        <w:t xml:space="preserve"> </w:t>
      </w:r>
      <w:r w:rsidR="00F179EE">
        <w:rPr>
          <w:rFonts w:ascii="Tahoma" w:hAnsi="Tahoma"/>
        </w:rPr>
        <w:t>15/11/2021</w:t>
      </w:r>
    </w:p>
    <w:p w14:paraId="33B9FBD8" w14:textId="77777777" w:rsidR="00334B08" w:rsidRPr="00334B08" w:rsidRDefault="00334B08" w:rsidP="00334B08">
      <w:pPr>
        <w:spacing w:after="0" w:line="240" w:lineRule="auto"/>
        <w:rPr>
          <w:rFonts w:ascii="Tahoma" w:hAnsi="Tahoma"/>
        </w:rPr>
      </w:pPr>
    </w:p>
    <w:p w14:paraId="00FF534E" w14:textId="77777777" w:rsidR="00334B08" w:rsidRPr="00334B08" w:rsidRDefault="00334B08" w:rsidP="00334B08">
      <w:pPr>
        <w:spacing w:after="0" w:line="240" w:lineRule="auto"/>
        <w:rPr>
          <w:rFonts w:ascii="Tahoma" w:hAnsi="Tahoma"/>
        </w:rPr>
      </w:pPr>
    </w:p>
    <w:p w14:paraId="5E2B95E6" w14:textId="77777777" w:rsidR="00334B08" w:rsidRPr="00334B08" w:rsidRDefault="00334B08" w:rsidP="00334B08">
      <w:pPr>
        <w:spacing w:after="0" w:line="240" w:lineRule="auto"/>
        <w:rPr>
          <w:rFonts w:ascii="Tahoma" w:hAnsi="Tahoma"/>
          <w:i/>
          <w:iCs/>
          <w:u w:val="single"/>
        </w:rPr>
      </w:pPr>
      <w:r w:rsidRPr="00334B08">
        <w:rPr>
          <w:rFonts w:ascii="Tahoma" w:hAnsi="Tahoma"/>
          <w:i/>
          <w:iCs/>
          <w:u w:val="single"/>
        </w:rPr>
        <w:t xml:space="preserve">Quality Meat Scotland is a Non-Departmental Public Body. This advice is provided under the Quality Meat Scotland Order 2008 Schedule 1 </w:t>
      </w:r>
      <w:r w:rsidRPr="00334B08">
        <w:rPr>
          <w:rFonts w:ascii="Tahoma" w:hAnsi="Tahoma"/>
          <w:i/>
          <w:iCs/>
          <w:color w:val="000000" w:themeColor="text1"/>
          <w:u w:val="single"/>
        </w:rPr>
        <w:t>point 18</w:t>
      </w:r>
      <w:r w:rsidRPr="00334B08">
        <w:rPr>
          <w:rFonts w:ascii="Arial" w:hAnsi="Arial" w:cs="Arial"/>
          <w:b/>
          <w:bCs/>
          <w:i/>
          <w:iCs/>
          <w:color w:val="000000" w:themeColor="text1"/>
          <w:sz w:val="18"/>
          <w:szCs w:val="18"/>
          <w:u w:val="single"/>
        </w:rPr>
        <w:t xml:space="preserve"> </w:t>
      </w:r>
      <w:r w:rsidRPr="00334B08">
        <w:rPr>
          <w:rFonts w:ascii="Tahoma" w:hAnsi="Tahoma" w:cs="Tahoma"/>
          <w:b/>
          <w:bCs/>
          <w:i/>
          <w:iCs/>
          <w:color w:val="000000" w:themeColor="text1"/>
          <w:u w:val="single"/>
        </w:rPr>
        <w:t>’</w:t>
      </w:r>
      <w:r w:rsidRPr="00334B08">
        <w:rPr>
          <w:rFonts w:ascii="Tahoma" w:hAnsi="Tahoma" w:cs="Tahoma"/>
          <w:i/>
          <w:iCs/>
          <w:color w:val="000000" w:themeColor="text1"/>
          <w:u w:val="single"/>
          <w:shd w:val="clear" w:color="auto" w:fill="FFFFFF"/>
        </w:rPr>
        <w:t>  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Pr="00334B08">
        <w:rPr>
          <w:rFonts w:ascii="Tahoma" w:hAnsi="Tahoma" w:cs="Tahoma"/>
          <w:i/>
          <w:iCs/>
          <w:color w:val="000000" w:themeColor="text1"/>
          <w:u w:val="single"/>
        </w:rPr>
        <w:t xml:space="preserve"> ‘. This advice is freely available and further information can be provided by the designated contact above. </w:t>
      </w:r>
    </w:p>
    <w:p w14:paraId="49228C18" w14:textId="77777777" w:rsidR="00334B08" w:rsidRPr="00334B08" w:rsidRDefault="00334B08" w:rsidP="00334B08">
      <w:pPr>
        <w:spacing w:after="0" w:line="240" w:lineRule="auto"/>
        <w:rPr>
          <w:rFonts w:ascii="Tahoma" w:hAnsi="Tahoma"/>
        </w:rPr>
      </w:pPr>
    </w:p>
    <w:p w14:paraId="4D655D78" w14:textId="77777777" w:rsidR="00334B08" w:rsidRPr="00334B08" w:rsidRDefault="00334B08" w:rsidP="00334B08">
      <w:pPr>
        <w:spacing w:after="0" w:line="240" w:lineRule="auto"/>
        <w:rPr>
          <w:rFonts w:ascii="Tahoma" w:hAnsi="Tahoma"/>
        </w:rPr>
      </w:pPr>
    </w:p>
    <w:p w14:paraId="0E28E4DA" w14:textId="77777777" w:rsidR="00014014" w:rsidRPr="00014014" w:rsidRDefault="00014014" w:rsidP="00014014">
      <w:pPr>
        <w:jc w:val="center"/>
        <w:rPr>
          <w:b/>
          <w:bCs/>
          <w:u w:val="single"/>
        </w:rPr>
      </w:pPr>
      <w:r w:rsidRPr="00014014">
        <w:rPr>
          <w:b/>
          <w:bCs/>
          <w:u w:val="single"/>
        </w:rPr>
        <w:t>Scottish Government Future Agricultural Support Consultation- QMS Response</w:t>
      </w:r>
    </w:p>
    <w:p w14:paraId="51E03957" w14:textId="77777777" w:rsidR="00014014" w:rsidRPr="00014014" w:rsidRDefault="00014014" w:rsidP="00014014"/>
    <w:p w14:paraId="220496A6" w14:textId="2B8F1BC8" w:rsidR="00014014" w:rsidRPr="00014014" w:rsidRDefault="00014014" w:rsidP="00014014">
      <w:r w:rsidRPr="00014014">
        <w:t xml:space="preserve">QMS </w:t>
      </w:r>
      <w:r w:rsidR="00F179EE">
        <w:t>is providing the below response to</w:t>
      </w:r>
      <w:r w:rsidRPr="00014014">
        <w:t xml:space="preserve"> the Scottish Governments consultation on future agricultural support. The full text of the consultation can be found here: </w:t>
      </w:r>
      <w:hyperlink r:id="rId11" w:history="1">
        <w:r w:rsidRPr="00014014">
          <w:rPr>
            <w:color w:val="0000FF"/>
            <w:u w:val="single"/>
          </w:rPr>
          <w:t>Agricultural transition - first steps towards our national policy: consultation - gov.scot (www.gov.scot)</w:t>
        </w:r>
      </w:hyperlink>
    </w:p>
    <w:p w14:paraId="69E603FE" w14:textId="08E1D234" w:rsidR="00C6799A" w:rsidRPr="00014014" w:rsidRDefault="00C6799A" w:rsidP="630EF09C">
      <w:pPr>
        <w:rPr>
          <w:color w:val="FF0000"/>
        </w:rPr>
      </w:pPr>
    </w:p>
    <w:tbl>
      <w:tblPr>
        <w:tblStyle w:val="TableGrid"/>
        <w:tblW w:w="0" w:type="auto"/>
        <w:tblLook w:val="04A0" w:firstRow="1" w:lastRow="0" w:firstColumn="1" w:lastColumn="0" w:noHBand="0" w:noVBand="1"/>
      </w:tblPr>
      <w:tblGrid>
        <w:gridCol w:w="4508"/>
        <w:gridCol w:w="4508"/>
      </w:tblGrid>
      <w:tr w:rsidR="00014014" w:rsidRPr="00014014" w14:paraId="179670EA" w14:textId="77777777" w:rsidTr="001A2130">
        <w:tc>
          <w:tcPr>
            <w:tcW w:w="4508" w:type="dxa"/>
            <w:shd w:val="clear" w:color="auto" w:fill="E7E6E6" w:themeFill="background2"/>
          </w:tcPr>
          <w:p w14:paraId="10707B02" w14:textId="77777777" w:rsidR="00014014" w:rsidRPr="00014014" w:rsidRDefault="00014014" w:rsidP="00014014">
            <w:pPr>
              <w:rPr>
                <w:b/>
                <w:bCs/>
              </w:rPr>
            </w:pPr>
            <w:r w:rsidRPr="00014014">
              <w:rPr>
                <w:b/>
                <w:bCs/>
              </w:rPr>
              <w:t>Question</w:t>
            </w:r>
          </w:p>
        </w:tc>
        <w:tc>
          <w:tcPr>
            <w:tcW w:w="4508" w:type="dxa"/>
            <w:shd w:val="clear" w:color="auto" w:fill="E7E6E6" w:themeFill="background2"/>
          </w:tcPr>
          <w:p w14:paraId="462BC0F6" w14:textId="77777777" w:rsidR="00014014" w:rsidRPr="00014014" w:rsidRDefault="00014014" w:rsidP="00014014">
            <w:pPr>
              <w:rPr>
                <w:b/>
                <w:bCs/>
              </w:rPr>
            </w:pPr>
            <w:r w:rsidRPr="00014014">
              <w:rPr>
                <w:b/>
                <w:bCs/>
              </w:rPr>
              <w:t>Comment</w:t>
            </w:r>
          </w:p>
        </w:tc>
      </w:tr>
      <w:tr w:rsidR="00014014" w:rsidRPr="00014014" w14:paraId="387B5470" w14:textId="77777777" w:rsidTr="001A2130">
        <w:tc>
          <w:tcPr>
            <w:tcW w:w="4508" w:type="dxa"/>
          </w:tcPr>
          <w:p w14:paraId="017688CB" w14:textId="77777777" w:rsidR="00014014" w:rsidRPr="00014014" w:rsidRDefault="00014014" w:rsidP="00014014">
            <w:pPr>
              <w:numPr>
                <w:ilvl w:val="0"/>
                <w:numId w:val="9"/>
              </w:numPr>
              <w:contextualSpacing/>
            </w:pPr>
            <w:r w:rsidRPr="00014014">
              <w:t>Should agricultural businesses receiving support be required to undertake a level of baseline data collection?</w:t>
            </w:r>
          </w:p>
          <w:p w14:paraId="3B6A87AC" w14:textId="77777777" w:rsidR="00014014" w:rsidRPr="00014014" w:rsidRDefault="00014014" w:rsidP="00014014"/>
        </w:tc>
        <w:tc>
          <w:tcPr>
            <w:tcW w:w="4508" w:type="dxa"/>
          </w:tcPr>
          <w:p w14:paraId="00E3A69C" w14:textId="5045500F" w:rsidR="00014014" w:rsidRPr="00014014" w:rsidRDefault="00C718A2" w:rsidP="00014014">
            <w:r>
              <w:t xml:space="preserve">Baselining is one of the most important actions that can be taken to develop an accurate picture of </w:t>
            </w:r>
            <w:r w:rsidR="00392469">
              <w:t xml:space="preserve">both </w:t>
            </w:r>
            <w:r>
              <w:t>business, and macro-industry performance</w:t>
            </w:r>
            <w:r w:rsidR="00A809AC">
              <w:t xml:space="preserve"> on particular issues.</w:t>
            </w:r>
            <w:r>
              <w:t xml:space="preserve"> However, we must be mindful that many of the businesses operating in the far</w:t>
            </w:r>
            <w:r w:rsidR="00201F68">
              <w:t xml:space="preserve">ming sector are micro and small businesses, often operating as one person operations, thus complexity and capacity to undertake baselining must be considered. </w:t>
            </w:r>
            <w:r w:rsidR="007F741A">
              <w:t xml:space="preserve">Additionally, specifically around net zero, businesses post farm gate within the supply chain should also be required and supported to undertake a level of baseline data collection to enable full scope 3 emissions to be mapped out across specific supply chains. </w:t>
            </w:r>
          </w:p>
        </w:tc>
      </w:tr>
      <w:tr w:rsidR="00014014" w:rsidRPr="00014014" w14:paraId="5BE60B85" w14:textId="77777777" w:rsidTr="001A2130">
        <w:tc>
          <w:tcPr>
            <w:tcW w:w="4508" w:type="dxa"/>
          </w:tcPr>
          <w:p w14:paraId="6E631524" w14:textId="77777777" w:rsidR="00014014" w:rsidRPr="00014014" w:rsidRDefault="00014014" w:rsidP="00014014">
            <w:pPr>
              <w:numPr>
                <w:ilvl w:val="0"/>
                <w:numId w:val="9"/>
              </w:numPr>
              <w:contextualSpacing/>
            </w:pPr>
            <w:r w:rsidRPr="00014014">
              <w:t>Should collected data be submitted for national collation?</w:t>
            </w:r>
          </w:p>
          <w:p w14:paraId="6A2F042E" w14:textId="77777777" w:rsidR="00014014" w:rsidRPr="00014014" w:rsidRDefault="00014014" w:rsidP="00014014">
            <w:pPr>
              <w:ind w:left="786"/>
              <w:contextualSpacing/>
            </w:pPr>
          </w:p>
          <w:p w14:paraId="28C04D87" w14:textId="77777777" w:rsidR="00014014" w:rsidRPr="00014014" w:rsidRDefault="00014014" w:rsidP="00014014">
            <w:pPr>
              <w:ind w:left="720"/>
              <w:contextualSpacing/>
            </w:pPr>
            <w:r w:rsidRPr="00014014">
              <w:t xml:space="preserve">2.1 If yes, what information should be collated nationally? </w:t>
            </w:r>
          </w:p>
          <w:p w14:paraId="746AEE56" w14:textId="77777777" w:rsidR="00014014" w:rsidRPr="00014014" w:rsidRDefault="00014014" w:rsidP="00014014">
            <w:pPr>
              <w:ind w:left="720"/>
              <w:contextualSpacing/>
            </w:pPr>
            <w:r w:rsidRPr="00014014">
              <w:t xml:space="preserve"> </w:t>
            </w:r>
          </w:p>
          <w:p w14:paraId="45463F38" w14:textId="77777777" w:rsidR="00014014" w:rsidRPr="00014014" w:rsidRDefault="00014014" w:rsidP="00014014"/>
        </w:tc>
        <w:tc>
          <w:tcPr>
            <w:tcW w:w="4508" w:type="dxa"/>
          </w:tcPr>
          <w:p w14:paraId="0D4FC6F1" w14:textId="77777777" w:rsidR="00044446" w:rsidRDefault="00CF382A" w:rsidP="003634A2">
            <w:r>
              <w:t xml:space="preserve">Yes, </w:t>
            </w:r>
            <w:r w:rsidR="00A809AC">
              <w:t>submitting data for national collation allows a macro picture to be built up, and then allows specific support packages to achieve specific outcomes to be put in place</w:t>
            </w:r>
            <w:r w:rsidR="0049171E">
              <w:t>. However, the challenge that you have is that because of the way farming businesses are structured, different data will show different outcomes depending on the time of year that it is submitted, for example, a spring calving suckler beef herd wil</w:t>
            </w:r>
            <w:r w:rsidR="001A26C9">
              <w:t xml:space="preserve">l vary differently to </w:t>
            </w:r>
            <w:proofErr w:type="spellStart"/>
            <w:r w:rsidR="001A26C9">
              <w:t>a</w:t>
            </w:r>
            <w:proofErr w:type="spellEnd"/>
            <w:r w:rsidR="001A26C9">
              <w:t xml:space="preserve"> autumn calving suckler herd, so finding a time, and </w:t>
            </w:r>
            <w:r w:rsidR="001A26C9">
              <w:lastRenderedPageBreak/>
              <w:t xml:space="preserve">structure to the data collection that allows </w:t>
            </w:r>
            <w:proofErr w:type="spellStart"/>
            <w:r w:rsidR="001A26C9">
              <w:t>a</w:t>
            </w:r>
            <w:proofErr w:type="spellEnd"/>
            <w:r w:rsidR="001A26C9">
              <w:t xml:space="preserve"> industry wide picture to be built will require close consideration between programmers and</w:t>
            </w:r>
            <w:r w:rsidR="003634A2">
              <w:t xml:space="preserve"> farmers</w:t>
            </w:r>
            <w:r w:rsidR="0063121D">
              <w:t xml:space="preserve">, with modelling and caveats added to the data </w:t>
            </w:r>
            <w:r w:rsidR="0099781F">
              <w:t>output to understand the nuances.</w:t>
            </w:r>
          </w:p>
          <w:p w14:paraId="72C0DEE8" w14:textId="77777777" w:rsidR="00044446" w:rsidRDefault="00044446" w:rsidP="003634A2"/>
          <w:p w14:paraId="4B60DC0C" w14:textId="21EBFF89" w:rsidR="003634A2" w:rsidRDefault="00044446" w:rsidP="003634A2">
            <w:r>
              <w:t xml:space="preserve">It is also important that we consider the ownership of this data. Scot EID have created the blueprint for data collection remaining in the ownership of the famers and crofters who provide it, and we believe that this principle should continue to be upheld in any further data collection. </w:t>
            </w:r>
            <w:r w:rsidR="0099781F">
              <w:t xml:space="preserve"> </w:t>
            </w:r>
          </w:p>
          <w:p w14:paraId="5DB058D7" w14:textId="77777777" w:rsidR="0099781F" w:rsidRDefault="0099781F" w:rsidP="003634A2"/>
          <w:p w14:paraId="13F3758C" w14:textId="3BD3C211" w:rsidR="0099781F" w:rsidRDefault="0099781F" w:rsidP="003634A2">
            <w:r>
              <w:t>In terms of what information should be collated nationally:</w:t>
            </w:r>
          </w:p>
          <w:p w14:paraId="483534E1" w14:textId="77777777" w:rsidR="0099781F" w:rsidRDefault="0099781F" w:rsidP="003634A2"/>
          <w:p w14:paraId="2CAE9E8E" w14:textId="27B732CE" w:rsidR="0099781F" w:rsidRDefault="002F081F" w:rsidP="003634A2">
            <w:r>
              <w:t>Carbon audit data (completed in the same tool standard format)</w:t>
            </w:r>
          </w:p>
          <w:p w14:paraId="41F04420" w14:textId="02BECB73" w:rsidR="00B378EB" w:rsidRDefault="00B378EB" w:rsidP="003634A2">
            <w:r>
              <w:t>Standardised biodiversity audit</w:t>
            </w:r>
          </w:p>
          <w:p w14:paraId="5CAD015A" w14:textId="313C7D09" w:rsidR="00B378EB" w:rsidRDefault="00B378EB" w:rsidP="003634A2">
            <w:r>
              <w:t>Output KPI’s</w:t>
            </w:r>
          </w:p>
          <w:p w14:paraId="1C042D13" w14:textId="4C97BAB1" w:rsidR="00E42B3C" w:rsidRDefault="00B378EB" w:rsidP="003634A2">
            <w:r>
              <w:t>Resource Use KPI’s</w:t>
            </w:r>
            <w:r w:rsidR="00E42B3C">
              <w:t>.</w:t>
            </w:r>
          </w:p>
          <w:p w14:paraId="3FA2AEC6" w14:textId="4B12C9EC" w:rsidR="00E42B3C" w:rsidRPr="00014014" w:rsidRDefault="00D3488B" w:rsidP="003634A2">
            <w:r>
              <w:t>L</w:t>
            </w:r>
            <w:r w:rsidR="00E42B3C">
              <w:t>and use (to qualify sequestration activities)</w:t>
            </w:r>
          </w:p>
          <w:p w14:paraId="32F4296D" w14:textId="60AED88F" w:rsidR="00CF382A" w:rsidRPr="00014014" w:rsidRDefault="00CF382A" w:rsidP="00014014"/>
        </w:tc>
      </w:tr>
      <w:tr w:rsidR="00014014" w:rsidRPr="00014014" w14:paraId="6A9FF139" w14:textId="77777777" w:rsidTr="001A2130">
        <w:tc>
          <w:tcPr>
            <w:tcW w:w="4508" w:type="dxa"/>
          </w:tcPr>
          <w:p w14:paraId="2354CDC0" w14:textId="77777777" w:rsidR="00014014" w:rsidRPr="00014014" w:rsidRDefault="00014014" w:rsidP="00014014">
            <w:pPr>
              <w:numPr>
                <w:ilvl w:val="0"/>
                <w:numId w:val="9"/>
              </w:numPr>
              <w:contextualSpacing/>
            </w:pPr>
            <w:r w:rsidRPr="00014014">
              <w:lastRenderedPageBreak/>
              <w:t>What are the next steps that can be taken to commit businesses to continuous improvement utilising the information presented by carbon, soil, biodiversity auditing?</w:t>
            </w:r>
          </w:p>
          <w:p w14:paraId="07660FD4" w14:textId="77777777" w:rsidR="00014014" w:rsidRPr="00014014" w:rsidRDefault="00014014" w:rsidP="00014014"/>
        </w:tc>
        <w:tc>
          <w:tcPr>
            <w:tcW w:w="4508" w:type="dxa"/>
          </w:tcPr>
          <w:p w14:paraId="7179D9A8" w14:textId="07D85CF4" w:rsidR="00014014" w:rsidRPr="00014014" w:rsidRDefault="00CB4FB3" w:rsidP="00014014">
            <w:r>
              <w:t xml:space="preserve">Clear links between </w:t>
            </w:r>
            <w:r w:rsidR="00AD5EC3">
              <w:t xml:space="preserve">audit and action need to be given, in terms of giving benchmarks of what expected </w:t>
            </w:r>
            <w:r w:rsidR="001948DC">
              <w:t xml:space="preserve">targets could and should be. This helps demonstrate at individual farm </w:t>
            </w:r>
            <w:r w:rsidR="00E61B05">
              <w:t>level what</w:t>
            </w:r>
            <w:r w:rsidR="00577CCD">
              <w:t xml:space="preserve"> is to be expected, and how it can be achieved. Linking capital or </w:t>
            </w:r>
            <w:r w:rsidR="00953265">
              <w:t xml:space="preserve">funding to action also helps de-risk any changes in </w:t>
            </w:r>
            <w:r w:rsidR="00E61B05">
              <w:t>practice and</w:t>
            </w:r>
            <w:r w:rsidR="00953265">
              <w:t xml:space="preserve"> absorb any additional costs of system change</w:t>
            </w:r>
            <w:r w:rsidR="00590B94">
              <w:t xml:space="preserve">- helping to </w:t>
            </w:r>
            <w:r w:rsidR="001D545A">
              <w:t>encourage and</w:t>
            </w:r>
            <w:r w:rsidR="00590B94">
              <w:t xml:space="preserve"> accelerate the uptake of change within the farming community. </w:t>
            </w:r>
          </w:p>
        </w:tc>
      </w:tr>
      <w:tr w:rsidR="00014014" w:rsidRPr="00014014" w14:paraId="32BD4CEC" w14:textId="77777777" w:rsidTr="001A2130">
        <w:tc>
          <w:tcPr>
            <w:tcW w:w="4508" w:type="dxa"/>
          </w:tcPr>
          <w:p w14:paraId="14F606D4" w14:textId="77777777" w:rsidR="00014014" w:rsidRPr="00014014" w:rsidRDefault="00014014" w:rsidP="00014014">
            <w:pPr>
              <w:numPr>
                <w:ilvl w:val="0"/>
                <w:numId w:val="9"/>
              </w:numPr>
              <w:contextualSpacing/>
            </w:pPr>
            <w:r w:rsidRPr="00014014">
              <w:t>How can baselining activities be incorporated into common business practices across all farm types?</w:t>
            </w:r>
          </w:p>
          <w:p w14:paraId="3D70B4CE" w14:textId="77777777" w:rsidR="00014014" w:rsidRPr="00014014" w:rsidRDefault="00014014" w:rsidP="00014014"/>
        </w:tc>
        <w:tc>
          <w:tcPr>
            <w:tcW w:w="4508" w:type="dxa"/>
          </w:tcPr>
          <w:p w14:paraId="27D508BF" w14:textId="74FAB3B6" w:rsidR="00014014" w:rsidRPr="00014014" w:rsidRDefault="00440737" w:rsidP="00014014">
            <w:r>
              <w:t>By linking baselining activities into conditional open access farm support payments, farmers are incentivised to implement them, similar to how an IACS form and greening are undertaken currently. Incentivising action and n</w:t>
            </w:r>
            <w:r w:rsidR="00CF382A">
              <w:t>udging is better than carrot and stick, but there should b</w:t>
            </w:r>
            <w:r>
              <w:t>e</w:t>
            </w:r>
            <w:r w:rsidR="00CF382A">
              <w:t xml:space="preserve"> a clear expectation that all businesses will participate</w:t>
            </w:r>
            <w:r w:rsidR="001D545A">
              <w:t xml:space="preserve">, and that there is a wider business benefit to that participation. </w:t>
            </w:r>
          </w:p>
        </w:tc>
      </w:tr>
      <w:tr w:rsidR="00014014" w:rsidRPr="00014014" w14:paraId="6F0B0820" w14:textId="77777777" w:rsidTr="001A2130">
        <w:tc>
          <w:tcPr>
            <w:tcW w:w="4508" w:type="dxa"/>
          </w:tcPr>
          <w:p w14:paraId="233CC2CB" w14:textId="77777777" w:rsidR="00014014" w:rsidRPr="00014014" w:rsidRDefault="00014014" w:rsidP="00014014">
            <w:pPr>
              <w:numPr>
                <w:ilvl w:val="0"/>
                <w:numId w:val="9"/>
              </w:numPr>
              <w:contextualSpacing/>
            </w:pPr>
            <w:r w:rsidRPr="00014014">
              <w:t xml:space="preserve">Should capital funding be limited to only providing support for capital items that have a clear link to reducing greenhouse gas emissions? </w:t>
            </w:r>
          </w:p>
          <w:p w14:paraId="6D099D0A" w14:textId="77777777" w:rsidR="00014014" w:rsidRPr="00014014" w:rsidRDefault="00014014" w:rsidP="00014014"/>
        </w:tc>
        <w:tc>
          <w:tcPr>
            <w:tcW w:w="4508" w:type="dxa"/>
          </w:tcPr>
          <w:p w14:paraId="24DA8AC9" w14:textId="452C7D0F" w:rsidR="00014014" w:rsidRPr="00014014" w:rsidRDefault="00EE7776" w:rsidP="00014014">
            <w:r>
              <w:t xml:space="preserve">Capital funding should be linked to clear outcomes. We feel that this should not be to reducing greenhouse gas </w:t>
            </w:r>
            <w:r w:rsidR="00687367">
              <w:t>emissions</w:t>
            </w:r>
            <w:r>
              <w:t xml:space="preserve"> alone, as there are other </w:t>
            </w:r>
            <w:r w:rsidR="00687367">
              <w:t xml:space="preserve">outcomes such as nature restoration, business </w:t>
            </w:r>
            <w:r w:rsidR="00E61B05">
              <w:t>diversification, and business development that</w:t>
            </w:r>
            <w:r w:rsidR="00687367">
              <w:t xml:space="preserve"> may also achieve a</w:t>
            </w:r>
            <w:r w:rsidR="00E61B05">
              <w:t xml:space="preserve"> public good outcome, including increased supply chain profitability. Capital funding should also not be </w:t>
            </w:r>
            <w:r w:rsidR="00BB03E4">
              <w:t>limited to farm businesses only. Other businesses within the supply chain, such as butchers, processors</w:t>
            </w:r>
            <w:r w:rsidR="00813F9E">
              <w:t>, auction markets</w:t>
            </w:r>
            <w:r w:rsidR="00BB03E4">
              <w:t xml:space="preserve"> and food and drink manufacturers should also be eligible </w:t>
            </w:r>
            <w:r w:rsidR="00591EA9">
              <w:t xml:space="preserve">for capital funding, as without an effective supply chain, </w:t>
            </w:r>
            <w:r w:rsidR="00D168B6">
              <w:t xml:space="preserve">primary producers are constrained in their actions- which could impact on their ability to meet emission and </w:t>
            </w:r>
            <w:r w:rsidR="00D168B6">
              <w:lastRenderedPageBreak/>
              <w:t>nature targets</w:t>
            </w:r>
            <w:r w:rsidR="00813F9E">
              <w:t xml:space="preserve"> in the long term. </w:t>
            </w:r>
            <w:r w:rsidR="00B84B31">
              <w:t xml:space="preserve">Capital funding for </w:t>
            </w:r>
            <w:r w:rsidR="002B09B2">
              <w:t>large,</w:t>
            </w:r>
            <w:r w:rsidR="00B84B31">
              <w:t xml:space="preserve"> </w:t>
            </w:r>
            <w:r w:rsidR="00F541BE">
              <w:t>multi-year</w:t>
            </w:r>
            <w:r w:rsidR="00B84B31">
              <w:t xml:space="preserve"> cross supply chain capital investment projects should also be mapped out</w:t>
            </w:r>
            <w:r w:rsidR="00381EA2">
              <w:t xml:space="preserve"> </w:t>
            </w:r>
            <w:r w:rsidR="00E10B49">
              <w:t xml:space="preserve">alongside the capital funding environment for farm businesses, ensuring supply chain alignment in investment and allow opportunities to add value to be realised. </w:t>
            </w:r>
            <w:r w:rsidR="00B84B31">
              <w:t xml:space="preserve"> </w:t>
            </w:r>
          </w:p>
        </w:tc>
      </w:tr>
      <w:tr w:rsidR="00014014" w:rsidRPr="00014014" w14:paraId="30A16E0F" w14:textId="77777777" w:rsidTr="001A2130">
        <w:tc>
          <w:tcPr>
            <w:tcW w:w="4508" w:type="dxa"/>
          </w:tcPr>
          <w:p w14:paraId="15439BEE" w14:textId="77777777" w:rsidR="00014014" w:rsidRPr="00014014" w:rsidRDefault="00014014" w:rsidP="00014014">
            <w:pPr>
              <w:numPr>
                <w:ilvl w:val="0"/>
                <w:numId w:val="9"/>
              </w:numPr>
              <w:contextualSpacing/>
            </w:pPr>
            <w:r w:rsidRPr="00014014">
              <w:lastRenderedPageBreak/>
              <w:t>What Role should match funding have in any capital funding?</w:t>
            </w:r>
          </w:p>
          <w:p w14:paraId="5DC1A6F1" w14:textId="77777777" w:rsidR="00014014" w:rsidRPr="00014014" w:rsidRDefault="00014014" w:rsidP="00014014"/>
        </w:tc>
        <w:tc>
          <w:tcPr>
            <w:tcW w:w="4508" w:type="dxa"/>
          </w:tcPr>
          <w:p w14:paraId="692E4F34" w14:textId="185FD167" w:rsidR="00014014" w:rsidRPr="00014014" w:rsidRDefault="00CF382A" w:rsidP="00014014">
            <w:r>
              <w:t>The level of matc</w:t>
            </w:r>
            <w:r w:rsidR="009D3BC7">
              <w:t xml:space="preserve">h funding </w:t>
            </w:r>
            <w:r>
              <w:t xml:space="preserve">could be calibrated to favour sustainable capital investment </w:t>
            </w:r>
            <w:proofErr w:type="spellStart"/>
            <w:r>
              <w:t>ie</w:t>
            </w:r>
            <w:proofErr w:type="spellEnd"/>
            <w:r>
              <w:t xml:space="preserve"> </w:t>
            </w:r>
            <w:r w:rsidR="009D3BC7">
              <w:t xml:space="preserve">a lower % intervention for non-emission reduction activities. </w:t>
            </w:r>
            <w:r>
              <w:t xml:space="preserve"> </w:t>
            </w:r>
            <w:r w:rsidR="00937B0D">
              <w:t>Government could also have a suite of investment tools other than just match funding, such as interest rate relief, and zero finance loan schemes that could provide alternative mechanisms for businesses to access funding.</w:t>
            </w:r>
            <w:r w:rsidR="0073323C">
              <w:t xml:space="preserve"> The efficacy of this was demonstrated in early 2020 with the UK Governments bounce back loan scheme, which allowed businesses access to secure capital to invest at secure rates of borrowing, leading to uptake by multiple businesses in the food and farming sector. </w:t>
            </w:r>
          </w:p>
        </w:tc>
      </w:tr>
      <w:tr w:rsidR="00014014" w:rsidRPr="00014014" w14:paraId="5273DF53" w14:textId="77777777" w:rsidTr="001A2130">
        <w:tc>
          <w:tcPr>
            <w:tcW w:w="4508" w:type="dxa"/>
          </w:tcPr>
          <w:p w14:paraId="3C080C11" w14:textId="77777777" w:rsidR="00014014" w:rsidRPr="00014014" w:rsidRDefault="00014014" w:rsidP="00014014">
            <w:pPr>
              <w:numPr>
                <w:ilvl w:val="0"/>
                <w:numId w:val="9"/>
              </w:numPr>
              <w:contextualSpacing/>
            </w:pPr>
            <w:r w:rsidRPr="00014014">
              <w:t>What capital funding should be provided to the sector to assist in transformational change, particularly given that in many instances the support called for was directly related to productivity or efficiency, that should improve financial returns of the business concerned?</w:t>
            </w:r>
          </w:p>
          <w:p w14:paraId="1BC3C11E" w14:textId="77777777" w:rsidR="00014014" w:rsidRPr="00014014" w:rsidRDefault="00014014" w:rsidP="00014014"/>
        </w:tc>
        <w:tc>
          <w:tcPr>
            <w:tcW w:w="4508" w:type="dxa"/>
          </w:tcPr>
          <w:p w14:paraId="7357C12D" w14:textId="77777777" w:rsidR="00CC4BB4" w:rsidRDefault="00CC4BB4" w:rsidP="00014014">
            <w:r>
              <w:t>Two types of funding are required.</w:t>
            </w:r>
          </w:p>
          <w:p w14:paraId="37A924C3" w14:textId="77777777" w:rsidR="00CC4BB4" w:rsidRDefault="00CC4BB4" w:rsidP="00014014"/>
          <w:p w14:paraId="16B1331A" w14:textId="77777777" w:rsidR="00313ED0" w:rsidRDefault="00CC4BB4" w:rsidP="00014014">
            <w:r>
              <w:t>Capital investment funding is required to purchase equipment</w:t>
            </w:r>
            <w:r w:rsidR="005504C1">
              <w:t xml:space="preserve">, technology or skills that can be used to radically change production systems </w:t>
            </w:r>
            <w:r w:rsidR="000E4ABF">
              <w:t>to enabl</w:t>
            </w:r>
            <w:r w:rsidR="00313ED0">
              <w:t xml:space="preserve">e </w:t>
            </w:r>
          </w:p>
          <w:p w14:paraId="18C30492" w14:textId="77777777" w:rsidR="00313ED0" w:rsidRDefault="00313ED0" w:rsidP="00014014"/>
          <w:p w14:paraId="3FD466AD" w14:textId="3FF8D307" w:rsidR="00014014" w:rsidRPr="00014014" w:rsidRDefault="00313ED0" w:rsidP="00014014">
            <w:r>
              <w:t xml:space="preserve">The second type of capital funding is for working capital. Systems change, and in particular changes to production systems </w:t>
            </w:r>
            <w:r w:rsidR="00F3622C">
              <w:t xml:space="preserve">sometimes </w:t>
            </w:r>
            <w:r w:rsidR="00E461C5">
              <w:t xml:space="preserve">changes income and business cashflow, at points that can make the business change unviable. Support that underpins working capital requirements during a period </w:t>
            </w:r>
            <w:r w:rsidR="002B09B2">
              <w:t>of business</w:t>
            </w:r>
            <w:r w:rsidR="00A225FC">
              <w:t xml:space="preserve"> transformation </w:t>
            </w:r>
            <w:r w:rsidR="001F54D6">
              <w:t xml:space="preserve">is vital in encouraging and </w:t>
            </w:r>
            <w:r w:rsidR="00DF7D78">
              <w:t>de-risking the business change process. This type of support would be better delivered as an interest free</w:t>
            </w:r>
            <w:r w:rsidR="00CE236D">
              <w:t xml:space="preserve"> government backed loan, </w:t>
            </w:r>
            <w:r w:rsidR="00AD3FF0">
              <w:t>with productivity improvements leading to increased capacity to repay the loan when the new business production system is in place</w:t>
            </w:r>
            <w:r w:rsidR="00B6013A">
              <w:t xml:space="preserve">, </w:t>
            </w:r>
            <w:proofErr w:type="spellStart"/>
            <w:r w:rsidR="00B6013A">
              <w:t>tus</w:t>
            </w:r>
            <w:proofErr w:type="spellEnd"/>
            <w:r w:rsidR="00B6013A">
              <w:t xml:space="preserve"> not creating a system of reliance on that cash in the long ter</w:t>
            </w:r>
            <w:r w:rsidR="00420B69">
              <w:t xml:space="preserve">m. </w:t>
            </w:r>
          </w:p>
        </w:tc>
      </w:tr>
      <w:tr w:rsidR="00014014" w:rsidRPr="00014014" w14:paraId="26AF38C9" w14:textId="77777777" w:rsidTr="001A2130">
        <w:tc>
          <w:tcPr>
            <w:tcW w:w="4508" w:type="dxa"/>
          </w:tcPr>
          <w:p w14:paraId="424B633F" w14:textId="77777777" w:rsidR="00014014" w:rsidRPr="00014014" w:rsidRDefault="00014014" w:rsidP="00014014">
            <w:pPr>
              <w:numPr>
                <w:ilvl w:val="0"/>
                <w:numId w:val="9"/>
              </w:numPr>
              <w:contextualSpacing/>
            </w:pPr>
            <w:r w:rsidRPr="00014014">
              <w:t xml:space="preserve">Should all farm and crofting businesses be incentivised to undertake actions which enhance biodiversity? </w:t>
            </w:r>
          </w:p>
          <w:p w14:paraId="612B3789" w14:textId="77777777" w:rsidR="00014014" w:rsidRPr="00014014" w:rsidRDefault="00014014" w:rsidP="00014014"/>
        </w:tc>
        <w:tc>
          <w:tcPr>
            <w:tcW w:w="4508" w:type="dxa"/>
          </w:tcPr>
          <w:p w14:paraId="51FE5FD4" w14:textId="3DF7A833" w:rsidR="00014014" w:rsidRPr="00014014" w:rsidRDefault="00CF382A" w:rsidP="00014014">
            <w:r>
              <w:t>Yes,</w:t>
            </w:r>
            <w:r w:rsidR="002E23D8">
              <w:t xml:space="preserve"> the whole industry needs to </w:t>
            </w:r>
            <w:r w:rsidR="00CA6F29">
              <w:t xml:space="preserve">change, and businesses of all types, size and scale should be enabled to play their part. </w:t>
            </w:r>
            <w:r w:rsidR="002528D7">
              <w:t>I</w:t>
            </w:r>
            <w:r w:rsidR="002E23D8">
              <w:t xml:space="preserve">ncentives (and disincentives) should </w:t>
            </w:r>
            <w:r w:rsidR="00E57FC8">
              <w:t>be sensibly</w:t>
            </w:r>
            <w:r>
              <w:t xml:space="preserve"> geared to the size and type of business </w:t>
            </w:r>
            <w:r w:rsidR="002528D7">
              <w:t>–</w:t>
            </w:r>
            <w:r>
              <w:t xml:space="preserve"> </w:t>
            </w:r>
            <w:r w:rsidR="002528D7">
              <w:t xml:space="preserve">and for the region that the business operates. The </w:t>
            </w:r>
            <w:r w:rsidR="00E57FC8">
              <w:t xml:space="preserve">Regional Land Use Partnerships approach provides a model that could be adopted to provide a </w:t>
            </w:r>
            <w:r w:rsidR="00420B69">
              <w:t>place-based</w:t>
            </w:r>
            <w:r w:rsidR="00E57FC8">
              <w:t xml:space="preserve"> biodiversity action </w:t>
            </w:r>
            <w:r w:rsidR="00CF0C0C">
              <w:t>methodology, that keeps actions relevant to local priorities</w:t>
            </w:r>
            <w:r w:rsidR="008F5C85">
              <w:t>. This also gives a structure from which biodiversity and nature support organisations</w:t>
            </w:r>
            <w:r w:rsidR="00700826">
              <w:t xml:space="preserve"> to best deploy advice and support to enable farming and </w:t>
            </w:r>
            <w:r w:rsidR="00700826">
              <w:lastRenderedPageBreak/>
              <w:t xml:space="preserve">crofting businesses </w:t>
            </w:r>
            <w:r w:rsidR="000C1CDD">
              <w:t xml:space="preserve">to undertake actions, and to identify key areas to focus </w:t>
            </w:r>
            <w:r w:rsidR="00574CB7">
              <w:t xml:space="preserve">activity and support. </w:t>
            </w:r>
          </w:p>
        </w:tc>
      </w:tr>
      <w:tr w:rsidR="00014014" w:rsidRPr="00014014" w14:paraId="72711A1E" w14:textId="77777777" w:rsidTr="001A2130">
        <w:tc>
          <w:tcPr>
            <w:tcW w:w="4508" w:type="dxa"/>
          </w:tcPr>
          <w:p w14:paraId="2B2238A9" w14:textId="77777777" w:rsidR="00014014" w:rsidRPr="00014014" w:rsidRDefault="00014014" w:rsidP="00014014">
            <w:pPr>
              <w:numPr>
                <w:ilvl w:val="0"/>
                <w:numId w:val="9"/>
              </w:numPr>
              <w:contextualSpacing/>
            </w:pPr>
            <w:r w:rsidRPr="00014014">
              <w:lastRenderedPageBreak/>
              <w:t>What actions would be required by the farming and crofting sectors to deliver a significant increase in biodiversity and wider-environmental benefits to address the biodiversity crisis?</w:t>
            </w:r>
          </w:p>
          <w:p w14:paraId="5AE4635D" w14:textId="77777777" w:rsidR="00014014" w:rsidRPr="00014014" w:rsidRDefault="00014014" w:rsidP="00014014">
            <w:r w:rsidRPr="00014014">
              <w:t xml:space="preserve"> </w:t>
            </w:r>
          </w:p>
          <w:p w14:paraId="06C4DAEE" w14:textId="77777777" w:rsidR="00014014" w:rsidRPr="00014014" w:rsidRDefault="00014014" w:rsidP="00014014"/>
        </w:tc>
        <w:tc>
          <w:tcPr>
            <w:tcW w:w="4508" w:type="dxa"/>
          </w:tcPr>
          <w:p w14:paraId="490F7E67" w14:textId="5FBBF1B1" w:rsidR="00014014" w:rsidRPr="00014014" w:rsidRDefault="00B36963" w:rsidP="00014014">
            <w:r>
              <w:t xml:space="preserve">The actions required to be taken by farmers and crofters are </w:t>
            </w:r>
            <w:r w:rsidR="00994017">
              <w:t xml:space="preserve">dependent on the habitats, </w:t>
            </w:r>
            <w:r w:rsidR="00B243F3">
              <w:t>flora</w:t>
            </w:r>
            <w:r w:rsidR="00994017">
              <w:t xml:space="preserve">, fauna on the holding and what the regional and local priorities for action are. Every action has to be based on evidence and clear outcome, </w:t>
            </w:r>
            <w:r w:rsidR="009A253A">
              <w:t xml:space="preserve">and enabling that decision making process to be undertaken, and supporting actions to take place aligned to an outcome is the best way of facilitating this change. </w:t>
            </w:r>
            <w:r w:rsidR="005641B4">
              <w:t>Therefore,</w:t>
            </w:r>
            <w:r w:rsidR="009A253A">
              <w:t xml:space="preserve"> one of the most important elements of a</w:t>
            </w:r>
            <w:r w:rsidR="00B243F3">
              <w:t xml:space="preserve">n </w:t>
            </w:r>
            <w:r w:rsidR="009A253A">
              <w:t>industry wide u</w:t>
            </w:r>
            <w:r w:rsidR="005641B4">
              <w:t>ptake</w:t>
            </w:r>
            <w:r w:rsidR="009A253A">
              <w:t xml:space="preserve"> of biodiversity and environmental land management measures </w:t>
            </w:r>
            <w:r w:rsidR="002143DA">
              <w:t xml:space="preserve">is around creating an enabling, regional based advisory service that can work 1 to few or one to one with land managers to </w:t>
            </w:r>
            <w:r w:rsidR="00D41D21">
              <w:t xml:space="preserve">give confidence and trust in the actions that they are implementing. </w:t>
            </w:r>
          </w:p>
        </w:tc>
      </w:tr>
      <w:tr w:rsidR="00014014" w:rsidRPr="00014014" w14:paraId="6FF0653C" w14:textId="77777777" w:rsidTr="001A2130">
        <w:tc>
          <w:tcPr>
            <w:tcW w:w="4508" w:type="dxa"/>
          </w:tcPr>
          <w:p w14:paraId="7803F5E5" w14:textId="77777777" w:rsidR="00014014" w:rsidRPr="00014014" w:rsidRDefault="00014014" w:rsidP="00014014">
            <w:pPr>
              <w:numPr>
                <w:ilvl w:val="0"/>
                <w:numId w:val="9"/>
              </w:numPr>
              <w:contextualSpacing/>
            </w:pPr>
            <w:r w:rsidRPr="00014014">
              <w:t xml:space="preserve">What do you see as the main opportunities for farmers and land managers in a Just Transition to a net zero economy?  </w:t>
            </w:r>
          </w:p>
        </w:tc>
        <w:tc>
          <w:tcPr>
            <w:tcW w:w="4508" w:type="dxa"/>
          </w:tcPr>
          <w:p w14:paraId="4AFD3BEA" w14:textId="48F44F02" w:rsidR="00014014" w:rsidRPr="00014014" w:rsidRDefault="002E23D8" w:rsidP="00014014">
            <w:r>
              <w:t xml:space="preserve">The main </w:t>
            </w:r>
            <w:r w:rsidR="00B67E28">
              <w:t xml:space="preserve">opportunities </w:t>
            </w:r>
            <w:r w:rsidR="00314023">
              <w:t xml:space="preserve">for farmers and land managers </w:t>
            </w:r>
            <w:r w:rsidR="009756A6">
              <w:t xml:space="preserve">for a just transition are increased profitability through </w:t>
            </w:r>
            <w:r w:rsidR="00CF09F3">
              <w:t xml:space="preserve">investing and upgrading </w:t>
            </w:r>
            <w:r w:rsidR="004365CA">
              <w:t>production</w:t>
            </w:r>
            <w:r w:rsidR="00CF09F3">
              <w:t xml:space="preserve"> systems to align with a net zero and nature restoration agenda, </w:t>
            </w:r>
            <w:r w:rsidR="004365CA">
              <w:t xml:space="preserve">and if supported correctly, to enable transition to production systems that are more business efficient. This creates economic outcomes from increased business performance, alongside enhanced environmental performance, that then returns via both public trust in Scotland’s farmers, and through reward as a public good. </w:t>
            </w:r>
          </w:p>
        </w:tc>
      </w:tr>
      <w:tr w:rsidR="00014014" w:rsidRPr="00014014" w14:paraId="03638BAD" w14:textId="77777777" w:rsidTr="001A2130">
        <w:tc>
          <w:tcPr>
            <w:tcW w:w="4508" w:type="dxa"/>
          </w:tcPr>
          <w:p w14:paraId="746897D8" w14:textId="77777777" w:rsidR="00014014" w:rsidRPr="00014014" w:rsidRDefault="00014014" w:rsidP="00014014">
            <w:pPr>
              <w:numPr>
                <w:ilvl w:val="0"/>
                <w:numId w:val="9"/>
              </w:numPr>
              <w:contextualSpacing/>
            </w:pPr>
            <w:r w:rsidRPr="00014014">
              <w:t xml:space="preserve"> What do you see as the main barriers for farmers, crofters and land managers in a just transition to a net zero economy?</w:t>
            </w:r>
          </w:p>
          <w:p w14:paraId="6B962CC8" w14:textId="77777777" w:rsidR="00014014" w:rsidRPr="00014014" w:rsidRDefault="00014014" w:rsidP="00014014"/>
        </w:tc>
        <w:tc>
          <w:tcPr>
            <w:tcW w:w="4508" w:type="dxa"/>
          </w:tcPr>
          <w:p w14:paraId="7B40E379" w14:textId="0C06053B" w:rsidR="00EC3500" w:rsidRPr="00014014" w:rsidRDefault="00D87FFA" w:rsidP="00014014">
            <w:r>
              <w:t xml:space="preserve">The main barriers for primary producers </w:t>
            </w:r>
            <w:r w:rsidR="00F137F5">
              <w:t>in just</w:t>
            </w:r>
            <w:r w:rsidR="00E230DE">
              <w:t xml:space="preserve"> transition are primarily cashflow based as identified earlier, </w:t>
            </w:r>
            <w:r w:rsidR="0088509E">
              <w:t>c</w:t>
            </w:r>
            <w:r w:rsidR="00EC3500">
              <w:t>ashflow</w:t>
            </w:r>
            <w:r w:rsidR="0088509E">
              <w:t xml:space="preserve">, </w:t>
            </w:r>
            <w:r w:rsidR="00290CED">
              <w:t>particularly</w:t>
            </w:r>
            <w:r w:rsidR="0088509E">
              <w:t xml:space="preserve"> in the beef and sheep sectors is one of the biggest barriers to change, as any interruption to business cashflow can quickly impact on business ability to operate. </w:t>
            </w:r>
            <w:r w:rsidR="00290CED">
              <w:t>Therefore,</w:t>
            </w:r>
            <w:r w:rsidR="0088509E">
              <w:t xml:space="preserve"> considering the cashflow needs of business</w:t>
            </w:r>
            <w:r w:rsidR="000360FD">
              <w:t xml:space="preserve"> as part of a defined change management strategy is </w:t>
            </w:r>
            <w:r w:rsidR="00290CED">
              <w:t>important</w:t>
            </w:r>
            <w:r w:rsidR="000360FD">
              <w:t xml:space="preserve"> in creating the correct environment to change, and encouraging business to move away from ‘business as usual. We also need to consider capacity for change, with many farm businesses operating as single person enterprises, </w:t>
            </w:r>
            <w:r w:rsidR="00290CED">
              <w:t xml:space="preserve">finding the time and resource to implement changes to production practices can limit the business ability to change. </w:t>
            </w:r>
            <w:r w:rsidR="0088509E">
              <w:t xml:space="preserve"> </w:t>
            </w:r>
            <w:r w:rsidR="00EC3500">
              <w:t xml:space="preserve"> </w:t>
            </w:r>
          </w:p>
        </w:tc>
      </w:tr>
      <w:tr w:rsidR="00014014" w:rsidRPr="00014014" w14:paraId="6318B9F4" w14:textId="77777777" w:rsidTr="001A2130">
        <w:tc>
          <w:tcPr>
            <w:tcW w:w="4508" w:type="dxa"/>
          </w:tcPr>
          <w:p w14:paraId="1CF222EC" w14:textId="77777777" w:rsidR="00014014" w:rsidRPr="00014014" w:rsidRDefault="00014014" w:rsidP="00014014">
            <w:pPr>
              <w:numPr>
                <w:ilvl w:val="0"/>
                <w:numId w:val="9"/>
              </w:numPr>
              <w:contextualSpacing/>
            </w:pPr>
            <w:r w:rsidRPr="00014014">
              <w:t>How best can land use change be encouraged on the scale required for Scottish Government to meet its climate change targets?</w:t>
            </w:r>
          </w:p>
          <w:p w14:paraId="10327E9F" w14:textId="77777777" w:rsidR="00014014" w:rsidRPr="00014014" w:rsidRDefault="00014014" w:rsidP="00014014">
            <w:pPr>
              <w:ind w:left="720" w:hanging="360"/>
            </w:pPr>
          </w:p>
        </w:tc>
        <w:tc>
          <w:tcPr>
            <w:tcW w:w="4508" w:type="dxa"/>
          </w:tcPr>
          <w:p w14:paraId="7C3046CA" w14:textId="0B624CA6" w:rsidR="00014014" w:rsidRPr="00014014" w:rsidRDefault="001A5875" w:rsidP="00014014">
            <w:r>
              <w:t xml:space="preserve">Instigating land scale land use change is fundamentally </w:t>
            </w:r>
            <w:r w:rsidR="00497880">
              <w:t>incompatible</w:t>
            </w:r>
            <w:r>
              <w:t xml:space="preserve"> with a policy of </w:t>
            </w:r>
            <w:r w:rsidR="00497880">
              <w:t xml:space="preserve">growing and developing a food and drink sector in Scotland. </w:t>
            </w:r>
            <w:r w:rsidR="00E011E2">
              <w:t>What should be focused on is i</w:t>
            </w:r>
            <w:r w:rsidR="00EC3500">
              <w:t xml:space="preserve">ntegrated land use change- </w:t>
            </w:r>
            <w:proofErr w:type="spellStart"/>
            <w:r w:rsidR="00EC3500">
              <w:t>eg</w:t>
            </w:r>
            <w:proofErr w:type="spellEnd"/>
            <w:r w:rsidR="00EC3500">
              <w:t xml:space="preserve"> livestock production alongside</w:t>
            </w:r>
            <w:r w:rsidR="00E011E2">
              <w:t xml:space="preserve"> other land uses, </w:t>
            </w:r>
            <w:r w:rsidR="001D516D">
              <w:t>particularly</w:t>
            </w:r>
            <w:r w:rsidR="00EC3500">
              <w:t xml:space="preserve"> peatland restoration and agroforestry</w:t>
            </w:r>
            <w:r w:rsidR="00E011E2">
              <w:t xml:space="preserve">, whereby land use is considered as a </w:t>
            </w:r>
            <w:r w:rsidR="001D516D">
              <w:t>multi-functional</w:t>
            </w:r>
            <w:r w:rsidR="00E011E2">
              <w:t xml:space="preserve"> asset, and l</w:t>
            </w:r>
            <w:r w:rsidR="00DA116D">
              <w:t xml:space="preserve">and use change is used as a tool to enhance food production </w:t>
            </w:r>
            <w:r w:rsidR="001D516D">
              <w:lastRenderedPageBreak/>
              <w:t>outcomes</w:t>
            </w:r>
            <w:r w:rsidR="00DA116D">
              <w:t xml:space="preserve">. Work in this area ensures that supply chain critical mass is not threatened through a reduction in </w:t>
            </w:r>
            <w:r w:rsidR="001D516D">
              <w:t xml:space="preserve">land farmed for food and </w:t>
            </w:r>
            <w:r w:rsidR="00B243F3">
              <w:t>drink and</w:t>
            </w:r>
            <w:r w:rsidR="001D516D">
              <w:t xml:space="preserve"> </w:t>
            </w:r>
            <w:r w:rsidR="002C26C7">
              <w:t xml:space="preserve">helps to reinforce that working with nature can be good for </w:t>
            </w:r>
            <w:r w:rsidR="0005448C">
              <w:t xml:space="preserve">food and drink businesses. </w:t>
            </w:r>
          </w:p>
        </w:tc>
      </w:tr>
      <w:tr w:rsidR="00014014" w:rsidRPr="00014014" w14:paraId="36EE8EC4" w14:textId="77777777" w:rsidTr="001A2130">
        <w:tc>
          <w:tcPr>
            <w:tcW w:w="4508" w:type="dxa"/>
          </w:tcPr>
          <w:p w14:paraId="46A2A82C" w14:textId="77777777" w:rsidR="00014014" w:rsidRPr="00014014" w:rsidRDefault="00014014" w:rsidP="00014014">
            <w:pPr>
              <w:numPr>
                <w:ilvl w:val="0"/>
                <w:numId w:val="9"/>
              </w:numPr>
              <w:contextualSpacing/>
            </w:pPr>
            <w:r w:rsidRPr="00014014">
              <w:lastRenderedPageBreak/>
              <w:t>Would incentives for farm plans specifically targeting flock/herd heath, soil health, &amp; crop health (for example) demonstrate real improvements in productivity over time?   </w:t>
            </w:r>
          </w:p>
        </w:tc>
        <w:tc>
          <w:tcPr>
            <w:tcW w:w="4508" w:type="dxa"/>
          </w:tcPr>
          <w:p w14:paraId="691A745A" w14:textId="182723BA" w:rsidR="00014014" w:rsidRPr="00014014" w:rsidRDefault="005F562C" w:rsidP="00014014">
            <w:r>
              <w:t xml:space="preserve">The process of making a plan, and </w:t>
            </w:r>
            <w:r w:rsidR="00B64905">
              <w:t>strategic</w:t>
            </w:r>
            <w:r>
              <w:t xml:space="preserve"> business planning is important for giving basis for action</w:t>
            </w:r>
            <w:r w:rsidR="00906F60">
              <w:t xml:space="preserve">, therefore planning cannot be undertaken in isolation, and must be linked to ongoing action thereafter. The planning process plays an important part in encouraging business </w:t>
            </w:r>
            <w:r w:rsidR="00B64905">
              <w:t>change and</w:t>
            </w:r>
            <w:r w:rsidR="00906F60">
              <w:t xml:space="preserve"> encouraging farmers and land managers to look strategically at their farm and croft businesses and pre-empt challenges, </w:t>
            </w:r>
            <w:r w:rsidR="00D32003">
              <w:t>and forecast business performance. Within existing businesses, it has been well evidenced that one of the actions of the top 25% of businesses</w:t>
            </w:r>
            <w:r w:rsidR="00B64905">
              <w:t xml:space="preserve"> take is annual business planning and cash flow building, utilising advisory capacity to ensure that a holistic assessment of the business is given. </w:t>
            </w:r>
            <w:r w:rsidR="00F11BA7">
              <w:t xml:space="preserve">Plans can also help facilitate decision making, </w:t>
            </w:r>
            <w:r w:rsidR="00552F8A">
              <w:t>particularly</w:t>
            </w:r>
            <w:r w:rsidR="00F11BA7">
              <w:t xml:space="preserve"> throughout the year when challenge areas appear, as they can help set longer term strategic direction, that </w:t>
            </w:r>
            <w:r w:rsidR="003E24EF">
              <w:t xml:space="preserve">avoids the problem of </w:t>
            </w:r>
            <w:r w:rsidR="00445D32">
              <w:t>short-term</w:t>
            </w:r>
            <w:r w:rsidR="003E24EF">
              <w:t xml:space="preserve"> decision making, that can impact on a business ability to change and adapt to a new production system or </w:t>
            </w:r>
            <w:r w:rsidR="00552F8A">
              <w:t xml:space="preserve">methodology. </w:t>
            </w:r>
            <w:r w:rsidR="00D32003">
              <w:t xml:space="preserve"> </w:t>
            </w:r>
          </w:p>
        </w:tc>
      </w:tr>
      <w:tr w:rsidR="00014014" w:rsidRPr="00014014" w14:paraId="57997D1E" w14:textId="77777777" w:rsidTr="001A2130">
        <w:tc>
          <w:tcPr>
            <w:tcW w:w="4508" w:type="dxa"/>
          </w:tcPr>
          <w:p w14:paraId="78E7C885" w14:textId="77777777" w:rsidR="00014014" w:rsidRPr="00014014" w:rsidRDefault="00014014" w:rsidP="00014014">
            <w:pPr>
              <w:numPr>
                <w:ilvl w:val="0"/>
                <w:numId w:val="9"/>
              </w:numPr>
              <w:contextualSpacing/>
            </w:pPr>
            <w:r w:rsidRPr="00014014">
              <w:t xml:space="preserve">Should future support be dependent on demonstration of improvements in productivity levels on farm? </w:t>
            </w:r>
          </w:p>
          <w:p w14:paraId="6F0495EB" w14:textId="77777777" w:rsidR="00014014" w:rsidRPr="00014014" w:rsidRDefault="00014014" w:rsidP="00014014"/>
        </w:tc>
        <w:tc>
          <w:tcPr>
            <w:tcW w:w="4508" w:type="dxa"/>
          </w:tcPr>
          <w:p w14:paraId="1DF83F1A" w14:textId="3CA0545F" w:rsidR="00014014" w:rsidRPr="00014014" w:rsidRDefault="002E23D8" w:rsidP="00014014">
            <w:r>
              <w:t>I</w:t>
            </w:r>
            <w:r w:rsidR="00743079">
              <w:t>n theory yes,</w:t>
            </w:r>
            <w:r w:rsidR="0005448C">
              <w:t xml:space="preserve"> future support should be outcome based. However, we must be cognisant of farming and food production being a </w:t>
            </w:r>
            <w:r w:rsidR="00C42415">
              <w:t xml:space="preserve">natural process, with </w:t>
            </w:r>
            <w:r w:rsidR="00432BB4">
              <w:t xml:space="preserve">some elements, </w:t>
            </w:r>
            <w:proofErr w:type="spellStart"/>
            <w:r w:rsidR="00432BB4">
              <w:t>eg</w:t>
            </w:r>
            <w:proofErr w:type="spellEnd"/>
            <w:r w:rsidR="00432BB4">
              <w:t xml:space="preserve"> weather, and external predators or disease being </w:t>
            </w:r>
            <w:r w:rsidR="00445D32">
              <w:t>out with</w:t>
            </w:r>
            <w:r w:rsidR="00432BB4">
              <w:t xml:space="preserve"> the control of the individual farm business. </w:t>
            </w:r>
            <w:r w:rsidR="00A0196B">
              <w:t>Therefore,</w:t>
            </w:r>
            <w:r w:rsidR="00432BB4">
              <w:t xml:space="preserve"> we must be pragmatic when looking at audit outcomes, if the </w:t>
            </w:r>
            <w:r w:rsidR="00A0196B">
              <w:t xml:space="preserve">action has been taken, but yet the outcomes not achieved, this should not impact whether you receive or not support, so long as the business can identify what went wrong, and how it will remedy it. An example of this in practice </w:t>
            </w:r>
            <w:r w:rsidR="0080363E">
              <w:t>is in the winter of 2018, when a large number of lambs were lost both pre and post-</w:t>
            </w:r>
            <w:proofErr w:type="spellStart"/>
            <w:r w:rsidR="0080363E">
              <w:t>natally</w:t>
            </w:r>
            <w:proofErr w:type="spellEnd"/>
            <w:r w:rsidR="0080363E">
              <w:t xml:space="preserve"> due to weather conditions out of the control of farm bu</w:t>
            </w:r>
            <w:r w:rsidR="00D678C6">
              <w:t>sinesses. The following yea</w:t>
            </w:r>
            <w:r w:rsidR="00FC341D">
              <w:t xml:space="preserve">r some flocks experienced reduced scanning rates due to the ewes not regaining condition due to </w:t>
            </w:r>
            <w:r w:rsidR="00A51E2E">
              <w:t xml:space="preserve">weather conditions through the year, further compounding reduced output rates. </w:t>
            </w:r>
            <w:r w:rsidR="00743079">
              <w:t xml:space="preserve"> </w:t>
            </w:r>
            <w:r w:rsidR="00A51E2E">
              <w:t xml:space="preserve">Therefore, as long as the business </w:t>
            </w:r>
            <w:r w:rsidR="00AE15F1">
              <w:t>can demonstrate actions it has taken with an intended outcome</w:t>
            </w:r>
            <w:r w:rsidR="00BE14A6">
              <w:t xml:space="preserve"> in mind, support should be granted. </w:t>
            </w:r>
          </w:p>
        </w:tc>
      </w:tr>
      <w:tr w:rsidR="00014014" w:rsidRPr="00014014" w14:paraId="630BE446" w14:textId="77777777" w:rsidTr="001A2130">
        <w:tc>
          <w:tcPr>
            <w:tcW w:w="4508" w:type="dxa"/>
          </w:tcPr>
          <w:p w14:paraId="3661DC57" w14:textId="77777777" w:rsidR="00014014" w:rsidRPr="00014014" w:rsidRDefault="00014014" w:rsidP="00014014">
            <w:pPr>
              <w:numPr>
                <w:ilvl w:val="0"/>
                <w:numId w:val="9"/>
              </w:numPr>
              <w:contextualSpacing/>
            </w:pPr>
            <w:r w:rsidRPr="00014014">
              <w:t xml:space="preserve">In light of ongoing research activities supported by the Scottish Government and the 2022-2027 research strategy, are additional measures needed to ensure research is supporting the </w:t>
            </w:r>
            <w:r w:rsidRPr="00014014">
              <w:lastRenderedPageBreak/>
              <w:t xml:space="preserve">agriculture sector to meet its climate change targets? </w:t>
            </w:r>
          </w:p>
          <w:p w14:paraId="634EB36B" w14:textId="77777777" w:rsidR="00014014" w:rsidRPr="00014014" w:rsidRDefault="00014014" w:rsidP="00014014"/>
        </w:tc>
        <w:tc>
          <w:tcPr>
            <w:tcW w:w="4508" w:type="dxa"/>
          </w:tcPr>
          <w:p w14:paraId="5D460A74" w14:textId="5D759EA6" w:rsidR="00014014" w:rsidRPr="00014014" w:rsidRDefault="00637FB5" w:rsidP="00014014">
            <w:r>
              <w:lastRenderedPageBreak/>
              <w:t xml:space="preserve">Yes closer interaction between research and practice, a development of applied on farm research trials </w:t>
            </w:r>
            <w:r w:rsidR="00D1208A">
              <w:t>is required. Scotland is home to world leading research</w:t>
            </w:r>
            <w:r w:rsidR="00117E7E">
              <w:t xml:space="preserve"> organisations</w:t>
            </w:r>
            <w:r w:rsidR="00D1208A">
              <w:t xml:space="preserve"> in the food and farming sector, </w:t>
            </w:r>
            <w:r w:rsidR="00117E7E">
              <w:t xml:space="preserve">however compared to </w:t>
            </w:r>
            <w:r w:rsidR="00117E7E">
              <w:lastRenderedPageBreak/>
              <w:t>other nati</w:t>
            </w:r>
            <w:r w:rsidR="00DD243B">
              <w:t xml:space="preserve">ons supplying into both our domestic market and other export markets, </w:t>
            </w:r>
            <w:r w:rsidR="00D75E0A">
              <w:t xml:space="preserve">we lack sufficient </w:t>
            </w:r>
            <w:r w:rsidR="00E82DDA">
              <w:t>applied,</w:t>
            </w:r>
            <w:r w:rsidR="00D75E0A">
              <w:t xml:space="preserve"> and farmer led research capacity that could help to enable further industry wide change. One way to do this is to further extend support structures such as the Rural Innovation Support Service </w:t>
            </w:r>
            <w:r w:rsidR="008119EB">
              <w:t xml:space="preserve">that allow farmers and other constituent members of the supply chain to </w:t>
            </w:r>
            <w:r w:rsidR="002F67FF">
              <w:t xml:space="preserve">seek solutions to industry challenges, by working together with research </w:t>
            </w:r>
            <w:r w:rsidR="00C15ED4">
              <w:t>and advisory organisations to</w:t>
            </w:r>
            <w:r w:rsidR="0042670B">
              <w:t xml:space="preserve"> test potential solutions at farm and industry level. By undertaking a larger amount of farmer led research, and research under commercial conditions on </w:t>
            </w:r>
            <w:r w:rsidR="007165CB">
              <w:t xml:space="preserve">working farms, farmers are more likely to implement and uptake new innovations and utilise research as a tool to improve business. </w:t>
            </w:r>
          </w:p>
        </w:tc>
      </w:tr>
      <w:tr w:rsidR="00014014" w:rsidRPr="00014014" w14:paraId="34FB309D" w14:textId="77777777" w:rsidTr="001A2130">
        <w:tc>
          <w:tcPr>
            <w:tcW w:w="4508" w:type="dxa"/>
          </w:tcPr>
          <w:p w14:paraId="5A412CFE" w14:textId="77777777" w:rsidR="00014014" w:rsidRPr="00014014" w:rsidRDefault="00014014" w:rsidP="00014014">
            <w:pPr>
              <w:numPr>
                <w:ilvl w:val="0"/>
                <w:numId w:val="9"/>
              </w:numPr>
              <w:contextualSpacing/>
            </w:pPr>
            <w:r w:rsidRPr="00014014">
              <w:lastRenderedPageBreak/>
              <w:t>What importance do you attach to knowledge exchange, skills development and innovation in business?</w:t>
            </w:r>
          </w:p>
          <w:p w14:paraId="1167E4C4" w14:textId="77777777" w:rsidR="00014014" w:rsidRPr="00014014" w:rsidRDefault="00014014" w:rsidP="00014014"/>
        </w:tc>
        <w:tc>
          <w:tcPr>
            <w:tcW w:w="4508" w:type="dxa"/>
          </w:tcPr>
          <w:p w14:paraId="59BFFA89" w14:textId="0F376602" w:rsidR="00014014" w:rsidRPr="00014014" w:rsidRDefault="00E82DDA" w:rsidP="00014014">
            <w:r>
              <w:t>When you are considering industry wide change, and supply chain wide change, knowledge exchange, upskil</w:t>
            </w:r>
            <w:r w:rsidR="00095C82">
              <w:t xml:space="preserve">ling, and innovation are critical. By implementing a cultural change that promotes these areas you are creating capacity and increasing capability of our farmers and land managers to make changes, </w:t>
            </w:r>
            <w:r w:rsidR="005C69FA">
              <w:t xml:space="preserve">which evidence shows can accelerate the pace of change. </w:t>
            </w:r>
            <w:r w:rsidR="001038CB">
              <w:t>We feel that it is critical to get the infrastructure around knowledge exchange, skills development and innovation</w:t>
            </w:r>
            <w:r w:rsidR="00A54D42">
              <w:t xml:space="preserve"> correct, and an important element of that is ensuring we have adequate numbers of trained, competent advisors able to </w:t>
            </w:r>
            <w:r w:rsidR="00886829">
              <w:t xml:space="preserve">work with businesses at a one to few or one to one basis. Programmes such as Monitor Farm Scotland </w:t>
            </w:r>
            <w:r w:rsidR="004E38D5">
              <w:t xml:space="preserve">have shown how business and community level change can be achieved at a local level, by </w:t>
            </w:r>
            <w:r w:rsidR="00E07D7C">
              <w:t>demonstrating</w:t>
            </w:r>
            <w:r w:rsidR="004E38D5">
              <w:t xml:space="preserve"> and facilitating innovation and </w:t>
            </w:r>
            <w:r w:rsidR="007F0288">
              <w:t xml:space="preserve">business change to a wide audience within the community, providing the </w:t>
            </w:r>
            <w:r w:rsidR="00E07D7C">
              <w:t xml:space="preserve">positive environment that facilitates a positive growth mindset and opportunity. </w:t>
            </w:r>
            <w:r w:rsidR="001038CB">
              <w:t xml:space="preserve"> </w:t>
            </w:r>
          </w:p>
        </w:tc>
      </w:tr>
      <w:tr w:rsidR="00014014" w:rsidRPr="00014014" w14:paraId="750E9589" w14:textId="77777777" w:rsidTr="001A2130">
        <w:tc>
          <w:tcPr>
            <w:tcW w:w="4508" w:type="dxa"/>
          </w:tcPr>
          <w:p w14:paraId="2384BE85" w14:textId="77777777" w:rsidR="00014014" w:rsidRPr="00014014" w:rsidRDefault="00014014" w:rsidP="00014014">
            <w:pPr>
              <w:numPr>
                <w:ilvl w:val="0"/>
                <w:numId w:val="9"/>
              </w:numPr>
              <w:contextualSpacing/>
            </w:pPr>
            <w:r w:rsidRPr="00014014">
              <w:t>What form should tailored, targeted action take to help businesses succeed?</w:t>
            </w:r>
          </w:p>
        </w:tc>
        <w:tc>
          <w:tcPr>
            <w:tcW w:w="4508" w:type="dxa"/>
          </w:tcPr>
          <w:p w14:paraId="368DB2BC" w14:textId="7885B90C" w:rsidR="00014014" w:rsidRPr="00014014" w:rsidRDefault="00445D32" w:rsidP="00014014">
            <w:r>
              <w:t xml:space="preserve">Creating the correct advisory and </w:t>
            </w:r>
            <w:r w:rsidR="00992528">
              <w:t>support</w:t>
            </w:r>
            <w:r>
              <w:t xml:space="preserve"> structure is critical to enable businesses to succeed whilst going through a period </w:t>
            </w:r>
            <w:r w:rsidR="00992528">
              <w:t>of</w:t>
            </w:r>
            <w:r>
              <w:t xml:space="preserve"> transformation. The critical elements to a successful advisory and support structure include </w:t>
            </w:r>
            <w:r w:rsidR="004C5319">
              <w:t xml:space="preserve">business advisory capacity, skilled technical expertise, peer to peer </w:t>
            </w:r>
            <w:r w:rsidR="00992528">
              <w:t>learning</w:t>
            </w:r>
            <w:r w:rsidR="004C5319">
              <w:t xml:space="preserve"> opportunities, </w:t>
            </w:r>
            <w:r w:rsidR="00EB5C95">
              <w:t xml:space="preserve">CPD, supply chain discussion and knowledge sharing, and technical and business planning. By having this advisory and support structure in place you create </w:t>
            </w:r>
            <w:r w:rsidR="00992528">
              <w:t>a</w:t>
            </w:r>
            <w:r w:rsidR="00EB5C95">
              <w:t xml:space="preserve"> </w:t>
            </w:r>
            <w:r w:rsidR="00A329E9">
              <w:t>system that business have to nudge ne</w:t>
            </w:r>
            <w:r w:rsidR="00992528">
              <w:t xml:space="preserve">w ideas forward, and create the enabling environment that encourages individuals to do new things and take, what may be perceived, as a risk to move away from the way things have been done. </w:t>
            </w:r>
          </w:p>
        </w:tc>
      </w:tr>
      <w:tr w:rsidR="00014014" w:rsidRPr="00014014" w14:paraId="571AAC2C" w14:textId="77777777" w:rsidTr="001A2130">
        <w:tc>
          <w:tcPr>
            <w:tcW w:w="4508" w:type="dxa"/>
          </w:tcPr>
          <w:p w14:paraId="4B8B8E4C" w14:textId="77777777" w:rsidR="00014014" w:rsidRPr="00014014" w:rsidRDefault="00014014" w:rsidP="00014014">
            <w:pPr>
              <w:numPr>
                <w:ilvl w:val="0"/>
                <w:numId w:val="9"/>
              </w:numPr>
              <w:contextualSpacing/>
            </w:pPr>
            <w:r w:rsidRPr="00014014">
              <w:t xml:space="preserve">Should continuing professional development be mandatory for </w:t>
            </w:r>
            <w:r w:rsidRPr="00014014">
              <w:lastRenderedPageBreak/>
              <w:t>businesses receiving public support funding?</w:t>
            </w:r>
          </w:p>
        </w:tc>
        <w:tc>
          <w:tcPr>
            <w:tcW w:w="4508" w:type="dxa"/>
          </w:tcPr>
          <w:p w14:paraId="43DED83E" w14:textId="0260CE72" w:rsidR="00014014" w:rsidRPr="00014014" w:rsidRDefault="00D80232" w:rsidP="00014014">
            <w:r>
              <w:lastRenderedPageBreak/>
              <w:t xml:space="preserve">Yes, we believe that CPD is an essential action that farmers and land managers can take to </w:t>
            </w:r>
            <w:r w:rsidR="00271838">
              <w:t xml:space="preserve">build resilient, profitable businesses, and is </w:t>
            </w:r>
            <w:r w:rsidR="00271838">
              <w:lastRenderedPageBreak/>
              <w:t xml:space="preserve">something that </w:t>
            </w:r>
            <w:r w:rsidR="00CC0117">
              <w:t>is mandatory within other industries (including some such as Land Agency</w:t>
            </w:r>
            <w:r w:rsidR="00A64E88">
              <w:t xml:space="preserve"> that supply the farming sector). Normalising regular CPD as part of business practice is </w:t>
            </w:r>
            <w:r w:rsidR="00992528">
              <w:t>critical and</w:t>
            </w:r>
            <w:r w:rsidR="00A64E88">
              <w:t xml:space="preserve"> ensuring that </w:t>
            </w:r>
            <w:r w:rsidR="006E6F00">
              <w:t>quality</w:t>
            </w:r>
            <w:r w:rsidR="00A64E88">
              <w:t xml:space="preserve"> CPD is available is a major driver of uptake</w:t>
            </w:r>
            <w:r w:rsidR="006155C2">
              <w:t xml:space="preserve">- so this must be regulated and </w:t>
            </w:r>
            <w:r w:rsidR="00B35AD4">
              <w:t xml:space="preserve">quality assessed </w:t>
            </w:r>
            <w:r w:rsidR="00687D39">
              <w:t>to ensure participants are receiving training that is of value and is well delivered.</w:t>
            </w:r>
          </w:p>
        </w:tc>
      </w:tr>
      <w:tr w:rsidR="00014014" w:rsidRPr="00014014" w14:paraId="5AA8E47B" w14:textId="77777777" w:rsidTr="001A2130">
        <w:tc>
          <w:tcPr>
            <w:tcW w:w="4508" w:type="dxa"/>
          </w:tcPr>
          <w:p w14:paraId="354BF22C" w14:textId="77777777" w:rsidR="00014014" w:rsidRPr="00014014" w:rsidRDefault="00014014" w:rsidP="00014014">
            <w:pPr>
              <w:numPr>
                <w:ilvl w:val="0"/>
                <w:numId w:val="9"/>
              </w:numPr>
              <w:contextualSpacing/>
            </w:pPr>
            <w:r w:rsidRPr="00014014">
              <w:lastRenderedPageBreak/>
              <w:t xml:space="preserve">How can the green credentials of Scottish produce be further developed and enhanced to provide reassurance to both businesses and consumers? </w:t>
            </w:r>
          </w:p>
          <w:p w14:paraId="3D9641D3" w14:textId="77777777" w:rsidR="00014014" w:rsidRPr="00014014" w:rsidRDefault="00014014" w:rsidP="00014014"/>
        </w:tc>
        <w:tc>
          <w:tcPr>
            <w:tcW w:w="4508" w:type="dxa"/>
          </w:tcPr>
          <w:p w14:paraId="48680C33" w14:textId="5B68167F" w:rsidR="00014014" w:rsidRPr="00014014" w:rsidRDefault="00BC622D" w:rsidP="00014014">
            <w:r>
              <w:t>Quality Assurance schemes have been</w:t>
            </w:r>
            <w:r w:rsidR="00FC2FDF">
              <w:t xml:space="preserve"> a driver of linking up on farm action with consumer </w:t>
            </w:r>
            <w:r w:rsidR="00805BF0">
              <w:t>assurance since first implemented in</w:t>
            </w:r>
            <w:r w:rsidR="00DC746B">
              <w:t xml:space="preserve"> </w:t>
            </w:r>
            <w:r w:rsidR="00805BF0">
              <w:t xml:space="preserve">Scotland over 30 years ago. </w:t>
            </w:r>
            <w:r w:rsidR="00C14130">
              <w:t>Clear, well communicated messages grounded in accurate data to industry and consumers alike</w:t>
            </w:r>
            <w:r w:rsidR="00805BF0">
              <w:t xml:space="preserve"> mean that there is transparency in product </w:t>
            </w:r>
            <w:r w:rsidR="0074625C">
              <w:t xml:space="preserve">production, that gives integrity to marketing messaging. There is an opportunity to </w:t>
            </w:r>
            <w:r w:rsidR="00B46C58">
              <w:t xml:space="preserve">build on existing </w:t>
            </w:r>
            <w:r w:rsidR="009D4F19">
              <w:t>quality</w:t>
            </w:r>
            <w:r w:rsidR="00B46C58">
              <w:t xml:space="preserve"> assurance schemes in Scotland to encompass green credentials</w:t>
            </w:r>
            <w:r w:rsidR="009D4F19">
              <w:t xml:space="preserve">, however we feel that this should remain </w:t>
            </w:r>
            <w:r w:rsidR="00051520">
              <w:t>detached</w:t>
            </w:r>
            <w:r w:rsidR="009D4F19">
              <w:t xml:space="preserve"> from farm support</w:t>
            </w:r>
            <w:r w:rsidR="00051520">
              <w:t xml:space="preserve"> as a principle of scheme independence.  </w:t>
            </w:r>
            <w:r w:rsidR="00B46C58">
              <w:t xml:space="preserve"> </w:t>
            </w:r>
            <w:r w:rsidR="00DC746B">
              <w:t xml:space="preserve"> </w:t>
            </w:r>
          </w:p>
        </w:tc>
      </w:tr>
      <w:tr w:rsidR="00014014" w:rsidRPr="00014014" w14:paraId="5D9BFA41" w14:textId="77777777" w:rsidTr="001A2130">
        <w:tc>
          <w:tcPr>
            <w:tcW w:w="4508" w:type="dxa"/>
          </w:tcPr>
          <w:p w14:paraId="1C52285D" w14:textId="77777777" w:rsidR="00014014" w:rsidRPr="00014014" w:rsidRDefault="00014014" w:rsidP="00014014">
            <w:pPr>
              <w:numPr>
                <w:ilvl w:val="0"/>
                <w:numId w:val="9"/>
              </w:numPr>
              <w:contextualSpacing/>
            </w:pPr>
            <w:r w:rsidRPr="00014014">
              <w:t>Should farm assurance be linked to requirements for future support?</w:t>
            </w:r>
          </w:p>
          <w:p w14:paraId="16E33DEC" w14:textId="77777777" w:rsidR="00014014" w:rsidRPr="00014014" w:rsidRDefault="00014014" w:rsidP="00014014"/>
        </w:tc>
        <w:tc>
          <w:tcPr>
            <w:tcW w:w="4508" w:type="dxa"/>
          </w:tcPr>
          <w:p w14:paraId="26CB3AD0" w14:textId="681BDB86" w:rsidR="00014014" w:rsidRPr="00014014" w:rsidRDefault="0021000A" w:rsidP="00014014">
            <w:r>
              <w:t xml:space="preserve">We feel it is important to define farm support and </w:t>
            </w:r>
            <w:r w:rsidR="00003AE4">
              <w:t>quality</w:t>
            </w:r>
            <w:r>
              <w:t xml:space="preserve"> assurance as having very different objectives, and </w:t>
            </w:r>
            <w:r w:rsidR="00003AE4">
              <w:t xml:space="preserve">therefore the current structure of farm </w:t>
            </w:r>
            <w:r w:rsidR="00692918">
              <w:t xml:space="preserve">support may not be compatible with linking the two. </w:t>
            </w:r>
            <w:r w:rsidR="00692423">
              <w:t xml:space="preserve">Whilst we can see the opportunity in driving up standards from farm assurance linking to future support, it would remove the voluntary and </w:t>
            </w:r>
            <w:r w:rsidR="008F6342">
              <w:t xml:space="preserve">independent nature of </w:t>
            </w:r>
            <w:r w:rsidR="00A51C47">
              <w:t>quality</w:t>
            </w:r>
            <w:r w:rsidR="008F6342">
              <w:t xml:space="preserve"> assurance at present, and it would need to be assessed how </w:t>
            </w:r>
            <w:r w:rsidR="00A51C47">
              <w:t>non-compliance</w:t>
            </w:r>
            <w:r w:rsidR="008F6342">
              <w:t xml:space="preserve"> within </w:t>
            </w:r>
            <w:r w:rsidR="00A51C47">
              <w:t>quality</w:t>
            </w:r>
            <w:r w:rsidR="008F6342">
              <w:t xml:space="preserve"> assurance would be delt with</w:t>
            </w:r>
            <w:r w:rsidR="00A51C47">
              <w:t>.</w:t>
            </w:r>
          </w:p>
        </w:tc>
      </w:tr>
      <w:tr w:rsidR="00014014" w:rsidRPr="00014014" w14:paraId="377149BD" w14:textId="77777777" w:rsidTr="001A2130">
        <w:tc>
          <w:tcPr>
            <w:tcW w:w="4508" w:type="dxa"/>
          </w:tcPr>
          <w:p w14:paraId="43DC6E66" w14:textId="77777777" w:rsidR="00014014" w:rsidRPr="00014014" w:rsidRDefault="00014014" w:rsidP="00014014">
            <w:pPr>
              <w:numPr>
                <w:ilvl w:val="0"/>
                <w:numId w:val="9"/>
              </w:numPr>
              <w:contextualSpacing/>
            </w:pPr>
            <w:r w:rsidRPr="00014014">
              <w:t>How can ongoing data capture and utilisation be enhanced on Scottish farms and crofts?</w:t>
            </w:r>
          </w:p>
        </w:tc>
        <w:tc>
          <w:tcPr>
            <w:tcW w:w="4508" w:type="dxa"/>
          </w:tcPr>
          <w:p w14:paraId="7A841046" w14:textId="07D86E5B" w:rsidR="00014014" w:rsidRPr="00014014" w:rsidRDefault="002E5FA1" w:rsidP="00014014">
            <w:r>
              <w:t>As a first step</w:t>
            </w:r>
            <w:r w:rsidR="00F12462">
              <w:t xml:space="preserve">, ensuring that every business has access to reliable, fast </w:t>
            </w:r>
            <w:r w:rsidR="00D704CE">
              <w:t>broadband</w:t>
            </w:r>
            <w:r w:rsidR="00F12462">
              <w:t xml:space="preserve"> would enable </w:t>
            </w:r>
            <w:r w:rsidR="00D704CE">
              <w:t>digital</w:t>
            </w:r>
            <w:r w:rsidR="00F12462">
              <w:t xml:space="preserve"> solutions to be easily deployed and utilised universally. We still see many farm businesses put off utilising digital </w:t>
            </w:r>
            <w:r w:rsidR="00650AF1">
              <w:t>solutions because of a lack of connectivity. Following that</w:t>
            </w:r>
            <w:r w:rsidR="00A52926">
              <w:t xml:space="preserve">, building tech systems that easily link </w:t>
            </w:r>
            <w:r w:rsidR="00F179EE">
              <w:t>into</w:t>
            </w:r>
            <w:r w:rsidR="00A52926">
              <w:t xml:space="preserve"> existing farm software provision is critical in ensuring that data is only collected once, and can then be used to </w:t>
            </w:r>
            <w:r w:rsidR="00C2420D">
              <w:t>fulfil</w:t>
            </w:r>
            <w:r w:rsidR="00A52926">
              <w:t xml:space="preserve"> a number of purposes. </w:t>
            </w:r>
            <w:r w:rsidR="00650AF1">
              <w:t xml:space="preserve"> </w:t>
            </w:r>
          </w:p>
        </w:tc>
      </w:tr>
      <w:tr w:rsidR="00014014" w:rsidRPr="00014014" w14:paraId="47566F1C" w14:textId="77777777" w:rsidTr="001A2130">
        <w:tc>
          <w:tcPr>
            <w:tcW w:w="4508" w:type="dxa"/>
          </w:tcPr>
          <w:p w14:paraId="10269854" w14:textId="77777777" w:rsidR="00014014" w:rsidRPr="00014014" w:rsidRDefault="00014014" w:rsidP="00014014">
            <w:pPr>
              <w:numPr>
                <w:ilvl w:val="0"/>
                <w:numId w:val="9"/>
              </w:numPr>
              <w:contextualSpacing/>
              <w:rPr>
                <w:rFonts w:ascii="Arial" w:hAnsi="Arial" w:cs="Arial"/>
                <w:b/>
                <w:bCs/>
                <w:sz w:val="24"/>
              </w:rPr>
            </w:pPr>
            <w:r w:rsidRPr="00014014">
              <w:rPr>
                <w:rFonts w:ascii="Arial" w:hAnsi="Arial" w:cs="Arial"/>
                <w:b/>
                <w:bCs/>
                <w:sz w:val="24"/>
              </w:rPr>
              <w:t>Anything else you feel should be added?</w:t>
            </w:r>
          </w:p>
        </w:tc>
        <w:tc>
          <w:tcPr>
            <w:tcW w:w="4508" w:type="dxa"/>
          </w:tcPr>
          <w:p w14:paraId="33AE78A0" w14:textId="77777777" w:rsidR="00014014" w:rsidRPr="00014014" w:rsidRDefault="00014014" w:rsidP="00014014"/>
        </w:tc>
      </w:tr>
    </w:tbl>
    <w:p w14:paraId="59F16EF8" w14:textId="77777777" w:rsidR="00014014" w:rsidRPr="00014014" w:rsidRDefault="00014014" w:rsidP="00014014"/>
    <w:p w14:paraId="426D6B02" w14:textId="046224FE" w:rsidR="00C70F31" w:rsidRPr="004A29E2" w:rsidRDefault="00C70F31" w:rsidP="00171318">
      <w:pPr>
        <w:spacing w:after="0" w:line="276" w:lineRule="auto"/>
        <w:ind w:left="567" w:right="401"/>
        <w:jc w:val="both"/>
        <w:rPr>
          <w:rFonts w:ascii="Arial" w:hAnsi="Arial" w:cs="Arial"/>
        </w:rPr>
      </w:pPr>
    </w:p>
    <w:sectPr w:rsidR="00C70F31" w:rsidRPr="004A29E2" w:rsidSect="00887E35">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D988" w14:textId="77777777" w:rsidR="00A01DCE" w:rsidRDefault="00A01DCE" w:rsidP="0006753A">
      <w:pPr>
        <w:spacing w:after="0" w:line="240" w:lineRule="auto"/>
      </w:pPr>
      <w:r>
        <w:separator/>
      </w:r>
    </w:p>
  </w:endnote>
  <w:endnote w:type="continuationSeparator" w:id="0">
    <w:p w14:paraId="10DFDEA9" w14:textId="77777777" w:rsidR="00A01DCE" w:rsidRDefault="00A01DCE" w:rsidP="000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D426" w14:textId="77777777" w:rsidR="00A01DCE" w:rsidRDefault="00A01DCE" w:rsidP="0006753A">
      <w:pPr>
        <w:spacing w:after="0" w:line="240" w:lineRule="auto"/>
      </w:pPr>
      <w:r>
        <w:separator/>
      </w:r>
    </w:p>
  </w:footnote>
  <w:footnote w:type="continuationSeparator" w:id="0">
    <w:p w14:paraId="78F66290" w14:textId="77777777" w:rsidR="00A01DCE" w:rsidRDefault="00A01DCE" w:rsidP="00067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676A"/>
    <w:multiLevelType w:val="hybridMultilevel"/>
    <w:tmpl w:val="50AA04D4"/>
    <w:lvl w:ilvl="0" w:tplc="08090015">
      <w:start w:val="1"/>
      <w:numFmt w:val="upperLetter"/>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62213"/>
    <w:multiLevelType w:val="hybridMultilevel"/>
    <w:tmpl w:val="7A743EB2"/>
    <w:lvl w:ilvl="0" w:tplc="0809000F">
      <w:start w:val="1"/>
      <w:numFmt w:val="decimal"/>
      <w:lvlText w:val="%1."/>
      <w:lvlJc w:val="left"/>
      <w:pPr>
        <w:ind w:left="2148" w:hanging="360"/>
      </w:pPr>
      <w:rPr>
        <w:rFonts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2" w15:restartNumberingAfterBreak="0">
    <w:nsid w:val="1ACF3ED9"/>
    <w:multiLevelType w:val="hybridMultilevel"/>
    <w:tmpl w:val="9808FDB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21548"/>
    <w:multiLevelType w:val="hybridMultilevel"/>
    <w:tmpl w:val="47DADE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10B96"/>
    <w:multiLevelType w:val="hybridMultilevel"/>
    <w:tmpl w:val="8F6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24CD3"/>
    <w:multiLevelType w:val="hybridMultilevel"/>
    <w:tmpl w:val="DB10AA18"/>
    <w:lvl w:ilvl="0" w:tplc="0809000F">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B4D19"/>
    <w:multiLevelType w:val="hybridMultilevel"/>
    <w:tmpl w:val="F6A838D4"/>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253456"/>
    <w:multiLevelType w:val="hybridMultilevel"/>
    <w:tmpl w:val="543E476A"/>
    <w:lvl w:ilvl="0" w:tplc="13502DC8">
      <w:start w:val="1"/>
      <w:numFmt w:val="decimal"/>
      <w:lvlText w:val="%1."/>
      <w:lvlJc w:val="left"/>
      <w:pPr>
        <w:ind w:left="720" w:hanging="360"/>
      </w:pPr>
      <w:rPr>
        <w:b/>
        <w:bCs/>
        <w:sz w:val="20"/>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799345B"/>
    <w:multiLevelType w:val="hybridMultilevel"/>
    <w:tmpl w:val="6DF2756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1"/>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F9"/>
    <w:rsid w:val="00003AE4"/>
    <w:rsid w:val="00014014"/>
    <w:rsid w:val="0002631E"/>
    <w:rsid w:val="000360FD"/>
    <w:rsid w:val="00044446"/>
    <w:rsid w:val="00051520"/>
    <w:rsid w:val="00051ADE"/>
    <w:rsid w:val="0005448C"/>
    <w:rsid w:val="00062861"/>
    <w:rsid w:val="0006753A"/>
    <w:rsid w:val="00095C82"/>
    <w:rsid w:val="000A5563"/>
    <w:rsid w:val="000C1CDD"/>
    <w:rsid w:val="000C3C85"/>
    <w:rsid w:val="000E0E10"/>
    <w:rsid w:val="000E23B2"/>
    <w:rsid w:val="000E4ABF"/>
    <w:rsid w:val="001038CB"/>
    <w:rsid w:val="00117E7E"/>
    <w:rsid w:val="00161AAE"/>
    <w:rsid w:val="00171318"/>
    <w:rsid w:val="00177A0E"/>
    <w:rsid w:val="001948DC"/>
    <w:rsid w:val="001A26C9"/>
    <w:rsid w:val="001A5875"/>
    <w:rsid w:val="001B2FDA"/>
    <w:rsid w:val="001D516D"/>
    <w:rsid w:val="001D545A"/>
    <w:rsid w:val="001F18D7"/>
    <w:rsid w:val="001F54D6"/>
    <w:rsid w:val="00201F68"/>
    <w:rsid w:val="0021000A"/>
    <w:rsid w:val="002143DA"/>
    <w:rsid w:val="002528D7"/>
    <w:rsid w:val="00271838"/>
    <w:rsid w:val="00290CED"/>
    <w:rsid w:val="002B09B2"/>
    <w:rsid w:val="002C26C7"/>
    <w:rsid w:val="002C554F"/>
    <w:rsid w:val="002C7025"/>
    <w:rsid w:val="002E23D8"/>
    <w:rsid w:val="002E5FA1"/>
    <w:rsid w:val="002F081F"/>
    <w:rsid w:val="002F67FF"/>
    <w:rsid w:val="003138A2"/>
    <w:rsid w:val="00313ED0"/>
    <w:rsid w:val="00314023"/>
    <w:rsid w:val="00334B08"/>
    <w:rsid w:val="003634A2"/>
    <w:rsid w:val="0037246B"/>
    <w:rsid w:val="00381EA2"/>
    <w:rsid w:val="00392469"/>
    <w:rsid w:val="003E24EF"/>
    <w:rsid w:val="00420B69"/>
    <w:rsid w:val="0042670B"/>
    <w:rsid w:val="00432BB4"/>
    <w:rsid w:val="004365CA"/>
    <w:rsid w:val="00440737"/>
    <w:rsid w:val="00445D32"/>
    <w:rsid w:val="004634BE"/>
    <w:rsid w:val="0049171E"/>
    <w:rsid w:val="00497880"/>
    <w:rsid w:val="004A29E2"/>
    <w:rsid w:val="004C5319"/>
    <w:rsid w:val="004D7E10"/>
    <w:rsid w:val="004E38D5"/>
    <w:rsid w:val="004F3A01"/>
    <w:rsid w:val="005504C1"/>
    <w:rsid w:val="00552F8A"/>
    <w:rsid w:val="0056225E"/>
    <w:rsid w:val="0056335D"/>
    <w:rsid w:val="005641B4"/>
    <w:rsid w:val="00566836"/>
    <w:rsid w:val="00574CB7"/>
    <w:rsid w:val="00577CCD"/>
    <w:rsid w:val="00590A22"/>
    <w:rsid w:val="00590B94"/>
    <w:rsid w:val="00591EA9"/>
    <w:rsid w:val="005C69FA"/>
    <w:rsid w:val="005D07B8"/>
    <w:rsid w:val="005F562C"/>
    <w:rsid w:val="00602C3D"/>
    <w:rsid w:val="006155C2"/>
    <w:rsid w:val="0063121D"/>
    <w:rsid w:val="00637FB5"/>
    <w:rsid w:val="00650AF1"/>
    <w:rsid w:val="006626D3"/>
    <w:rsid w:val="00673792"/>
    <w:rsid w:val="00676DA5"/>
    <w:rsid w:val="00687367"/>
    <w:rsid w:val="00687D39"/>
    <w:rsid w:val="00692423"/>
    <w:rsid w:val="00692918"/>
    <w:rsid w:val="006A03CA"/>
    <w:rsid w:val="006C433F"/>
    <w:rsid w:val="006E525B"/>
    <w:rsid w:val="006E6F00"/>
    <w:rsid w:val="00700826"/>
    <w:rsid w:val="007165CB"/>
    <w:rsid w:val="0073323C"/>
    <w:rsid w:val="00743079"/>
    <w:rsid w:val="0074625C"/>
    <w:rsid w:val="00746EEE"/>
    <w:rsid w:val="00771FB4"/>
    <w:rsid w:val="00775A80"/>
    <w:rsid w:val="007B0786"/>
    <w:rsid w:val="007F0288"/>
    <w:rsid w:val="007F741A"/>
    <w:rsid w:val="00800827"/>
    <w:rsid w:val="0080363E"/>
    <w:rsid w:val="00805BF0"/>
    <w:rsid w:val="008106FB"/>
    <w:rsid w:val="008119EB"/>
    <w:rsid w:val="008136E9"/>
    <w:rsid w:val="00813F9E"/>
    <w:rsid w:val="008271CB"/>
    <w:rsid w:val="0088509E"/>
    <w:rsid w:val="00886829"/>
    <w:rsid w:val="00887E35"/>
    <w:rsid w:val="008F5C85"/>
    <w:rsid w:val="008F6342"/>
    <w:rsid w:val="00906F60"/>
    <w:rsid w:val="00910ED6"/>
    <w:rsid w:val="00937B0D"/>
    <w:rsid w:val="00953265"/>
    <w:rsid w:val="009756A6"/>
    <w:rsid w:val="00992528"/>
    <w:rsid w:val="009928C6"/>
    <w:rsid w:val="00994017"/>
    <w:rsid w:val="0099781F"/>
    <w:rsid w:val="009A253A"/>
    <w:rsid w:val="009A2DC4"/>
    <w:rsid w:val="009B26EB"/>
    <w:rsid w:val="009D3BC7"/>
    <w:rsid w:val="009D4F19"/>
    <w:rsid w:val="00A0196B"/>
    <w:rsid w:val="00A01DCE"/>
    <w:rsid w:val="00A166B1"/>
    <w:rsid w:val="00A225FC"/>
    <w:rsid w:val="00A238BE"/>
    <w:rsid w:val="00A329E9"/>
    <w:rsid w:val="00A51C47"/>
    <w:rsid w:val="00A51E2E"/>
    <w:rsid w:val="00A52926"/>
    <w:rsid w:val="00A54D42"/>
    <w:rsid w:val="00A64E88"/>
    <w:rsid w:val="00A73451"/>
    <w:rsid w:val="00A809AC"/>
    <w:rsid w:val="00AA3772"/>
    <w:rsid w:val="00AB155D"/>
    <w:rsid w:val="00AD3FF0"/>
    <w:rsid w:val="00AD5EC3"/>
    <w:rsid w:val="00AE15F1"/>
    <w:rsid w:val="00B10B9E"/>
    <w:rsid w:val="00B20CF4"/>
    <w:rsid w:val="00B243F3"/>
    <w:rsid w:val="00B35AD4"/>
    <w:rsid w:val="00B36963"/>
    <w:rsid w:val="00B378EB"/>
    <w:rsid w:val="00B46C58"/>
    <w:rsid w:val="00B6013A"/>
    <w:rsid w:val="00B64905"/>
    <w:rsid w:val="00B67E28"/>
    <w:rsid w:val="00B84B31"/>
    <w:rsid w:val="00BA4BF9"/>
    <w:rsid w:val="00BB03E4"/>
    <w:rsid w:val="00BC5B77"/>
    <w:rsid w:val="00BC622D"/>
    <w:rsid w:val="00BD3FAC"/>
    <w:rsid w:val="00BE14A6"/>
    <w:rsid w:val="00C04B6F"/>
    <w:rsid w:val="00C14130"/>
    <w:rsid w:val="00C15ED4"/>
    <w:rsid w:val="00C2163B"/>
    <w:rsid w:val="00C2420D"/>
    <w:rsid w:val="00C42415"/>
    <w:rsid w:val="00C51BED"/>
    <w:rsid w:val="00C64DCD"/>
    <w:rsid w:val="00C6799A"/>
    <w:rsid w:val="00C70F31"/>
    <w:rsid w:val="00C718A2"/>
    <w:rsid w:val="00C906F4"/>
    <w:rsid w:val="00C954BC"/>
    <w:rsid w:val="00CA6F29"/>
    <w:rsid w:val="00CB4FB3"/>
    <w:rsid w:val="00CC0117"/>
    <w:rsid w:val="00CC1E03"/>
    <w:rsid w:val="00CC4BB4"/>
    <w:rsid w:val="00CE236D"/>
    <w:rsid w:val="00CF09F3"/>
    <w:rsid w:val="00CF0C0C"/>
    <w:rsid w:val="00CF382A"/>
    <w:rsid w:val="00D1208A"/>
    <w:rsid w:val="00D168B6"/>
    <w:rsid w:val="00D24E8A"/>
    <w:rsid w:val="00D32003"/>
    <w:rsid w:val="00D3488B"/>
    <w:rsid w:val="00D41D21"/>
    <w:rsid w:val="00D4426D"/>
    <w:rsid w:val="00D55778"/>
    <w:rsid w:val="00D61A34"/>
    <w:rsid w:val="00D678C6"/>
    <w:rsid w:val="00D704CE"/>
    <w:rsid w:val="00D7404A"/>
    <w:rsid w:val="00D75E0A"/>
    <w:rsid w:val="00D76D34"/>
    <w:rsid w:val="00D80232"/>
    <w:rsid w:val="00D8275B"/>
    <w:rsid w:val="00D87FFA"/>
    <w:rsid w:val="00DA116D"/>
    <w:rsid w:val="00DC746B"/>
    <w:rsid w:val="00DC7D98"/>
    <w:rsid w:val="00DD243B"/>
    <w:rsid w:val="00DE29D9"/>
    <w:rsid w:val="00DF7D78"/>
    <w:rsid w:val="00E011E2"/>
    <w:rsid w:val="00E07D7C"/>
    <w:rsid w:val="00E10B49"/>
    <w:rsid w:val="00E14ED4"/>
    <w:rsid w:val="00E230DE"/>
    <w:rsid w:val="00E37901"/>
    <w:rsid w:val="00E42B3C"/>
    <w:rsid w:val="00E43DCF"/>
    <w:rsid w:val="00E461C5"/>
    <w:rsid w:val="00E57FC8"/>
    <w:rsid w:val="00E61B05"/>
    <w:rsid w:val="00E82DDA"/>
    <w:rsid w:val="00E94863"/>
    <w:rsid w:val="00EB5C95"/>
    <w:rsid w:val="00EC3500"/>
    <w:rsid w:val="00ED1C11"/>
    <w:rsid w:val="00EE7776"/>
    <w:rsid w:val="00F019D7"/>
    <w:rsid w:val="00F11BA7"/>
    <w:rsid w:val="00F12462"/>
    <w:rsid w:val="00F137F5"/>
    <w:rsid w:val="00F179EE"/>
    <w:rsid w:val="00F3622C"/>
    <w:rsid w:val="00F41733"/>
    <w:rsid w:val="00F541BE"/>
    <w:rsid w:val="00F829B2"/>
    <w:rsid w:val="00FB7A9C"/>
    <w:rsid w:val="00FC2FDF"/>
    <w:rsid w:val="00FC341D"/>
    <w:rsid w:val="1C13FE7F"/>
    <w:rsid w:val="630EF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6050"/>
  <w15:chartTrackingRefBased/>
  <w15:docId w15:val="{20A6E3BE-81AD-4D92-BFF1-70C03316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53A"/>
  </w:style>
  <w:style w:type="paragraph" w:styleId="Footer">
    <w:name w:val="footer"/>
    <w:basedOn w:val="Normal"/>
    <w:link w:val="FooterChar"/>
    <w:uiPriority w:val="99"/>
    <w:unhideWhenUsed/>
    <w:rsid w:val="00067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53A"/>
  </w:style>
  <w:style w:type="character" w:styleId="Hyperlink">
    <w:name w:val="Hyperlink"/>
    <w:basedOn w:val="DefaultParagraphFont"/>
    <w:uiPriority w:val="99"/>
    <w:unhideWhenUsed/>
    <w:rsid w:val="00C04B6F"/>
    <w:rPr>
      <w:color w:val="0563C1" w:themeColor="hyperlink"/>
      <w:u w:val="single"/>
    </w:rPr>
  </w:style>
  <w:style w:type="character" w:styleId="UnresolvedMention">
    <w:name w:val="Unresolved Mention"/>
    <w:basedOn w:val="DefaultParagraphFont"/>
    <w:uiPriority w:val="99"/>
    <w:semiHidden/>
    <w:unhideWhenUsed/>
    <w:rsid w:val="00C04B6F"/>
    <w:rPr>
      <w:color w:val="605E5C"/>
      <w:shd w:val="clear" w:color="auto" w:fill="E1DFDD"/>
    </w:rPr>
  </w:style>
  <w:style w:type="paragraph" w:styleId="ListParagraph">
    <w:name w:val="List Paragraph"/>
    <w:basedOn w:val="Normal"/>
    <w:uiPriority w:val="34"/>
    <w:qFormat/>
    <w:rsid w:val="00E37901"/>
    <w:pPr>
      <w:ind w:left="720"/>
      <w:contextualSpacing/>
    </w:pPr>
  </w:style>
  <w:style w:type="table" w:styleId="TableGrid">
    <w:name w:val="Table Grid"/>
    <w:basedOn w:val="TableNormal"/>
    <w:uiPriority w:val="39"/>
    <w:rsid w:val="0001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agricultural-transition-scotland-first-steps-towards-national-policy-consultation-paper/pages/6/"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1EBD8-93A1-445B-8A1B-7CEA4AD1B5F8}"/>
</file>

<file path=customXml/itemProps2.xml><?xml version="1.0" encoding="utf-8"?>
<ds:datastoreItem xmlns:ds="http://schemas.openxmlformats.org/officeDocument/2006/customXml" ds:itemID="{FD67B855-B4FC-493B-9DF9-C65B09BA59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D7222-407F-401C-9CB2-E7654BD9D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Sharp</dc:creator>
  <cp:keywords/>
  <dc:description/>
  <cp:lastModifiedBy>Sarah Millar</cp:lastModifiedBy>
  <cp:revision>167</cp:revision>
  <cp:lastPrinted>2021-10-27T08:39:00Z</cp:lastPrinted>
  <dcterms:created xsi:type="dcterms:W3CDTF">2021-11-11T09:31:00Z</dcterms:created>
  <dcterms:modified xsi:type="dcterms:W3CDTF">2021-11-15T21:30:00Z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